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8BBA" w14:textId="77777777" w:rsidR="00646B5B" w:rsidRDefault="003F5642" w:rsidP="00B829A8">
      <w:pPr>
        <w:pStyle w:val="Level1"/>
      </w:pPr>
      <w:r>
        <w:t>PURPOSE</w:t>
      </w:r>
    </w:p>
    <w:p w14:paraId="595C2560" w14:textId="77777777" w:rsidR="001D7F18" w:rsidRPr="001D7F18" w:rsidRDefault="00921F75" w:rsidP="001D7F18">
      <w:pPr>
        <w:pStyle w:val="Level1fo"/>
      </w:pPr>
      <w:r>
        <w:t xml:space="preserve">This policy outlines how </w:t>
      </w:r>
      <w:r w:rsidR="001D7F18" w:rsidRPr="001D7F18">
        <w:t>Southern Cross Media Group Limited (</w:t>
      </w:r>
      <w:r w:rsidR="001D7F18" w:rsidRPr="001D7F18">
        <w:rPr>
          <w:b/>
        </w:rPr>
        <w:t>Company</w:t>
      </w:r>
      <w:r w:rsidR="001D7F18" w:rsidRPr="001D7F18">
        <w:t xml:space="preserve">) </w:t>
      </w:r>
      <w:r>
        <w:t>manages external communications, including to ensure compliance</w:t>
      </w:r>
      <w:r w:rsidR="001D7F18">
        <w:t xml:space="preserve"> with </w:t>
      </w:r>
      <w:r>
        <w:t>the</w:t>
      </w:r>
      <w:r w:rsidR="001D7F18" w:rsidRPr="001D7F18">
        <w:t xml:space="preserve"> continuous disclosure </w:t>
      </w:r>
      <w:r>
        <w:t>requirements of</w:t>
      </w:r>
      <w:r w:rsidR="001D7F18" w:rsidRPr="001D7F18">
        <w:t xml:space="preserve"> the ASX Listing Rules and the Corporations Act</w:t>
      </w:r>
      <w:r w:rsidR="001D7F18">
        <w:t xml:space="preserve">.  </w:t>
      </w:r>
    </w:p>
    <w:p w14:paraId="3F12C6AA" w14:textId="77777777" w:rsidR="00ED15DB" w:rsidRDefault="003642C0" w:rsidP="00B829A8">
      <w:pPr>
        <w:pStyle w:val="Level1"/>
      </w:pPr>
      <w:r>
        <w:t xml:space="preserve">CONTINUOUS DISCLOSURE </w:t>
      </w:r>
      <w:r w:rsidR="00921F75">
        <w:t>REQUIREMENTS</w:t>
      </w:r>
      <w:r w:rsidR="0013194F">
        <w:t xml:space="preserve"> </w:t>
      </w:r>
    </w:p>
    <w:p w14:paraId="4E5C4C16" w14:textId="77777777" w:rsidR="003642C0" w:rsidRDefault="003642C0" w:rsidP="003642C0">
      <w:pPr>
        <w:pStyle w:val="Level11"/>
      </w:pPr>
      <w:r>
        <w:t>The Company’s obligation</w:t>
      </w:r>
      <w:r w:rsidR="00921F75">
        <w:t>s</w:t>
      </w:r>
    </w:p>
    <w:p w14:paraId="45DFCA26" w14:textId="77777777" w:rsidR="005E1943" w:rsidRDefault="003642C0" w:rsidP="003642C0">
      <w:pPr>
        <w:pStyle w:val="Level1fo"/>
      </w:pPr>
      <w:r>
        <w:t xml:space="preserve">The Company is required to </w:t>
      </w:r>
      <w:r w:rsidRPr="001D7F18">
        <w:t>notify ASX of information that a reasonable person would expect to have a material effect on the price or value of the Company's securities</w:t>
      </w:r>
      <w:r>
        <w:t xml:space="preserve"> </w:t>
      </w:r>
      <w:r w:rsidRPr="001D7F18">
        <w:t xml:space="preserve">immediately </w:t>
      </w:r>
      <w:r>
        <w:t>after</w:t>
      </w:r>
      <w:r w:rsidRPr="001D7F18">
        <w:t xml:space="preserve"> the Company b</w:t>
      </w:r>
      <w:r>
        <w:t>ecomes aware of the information.</w:t>
      </w:r>
    </w:p>
    <w:p w14:paraId="355AEBB2" w14:textId="77777777" w:rsidR="003642C0" w:rsidRDefault="003642C0" w:rsidP="003642C0">
      <w:pPr>
        <w:pStyle w:val="Level11"/>
      </w:pPr>
      <w:r>
        <w:t>Examples of price-sensitive information</w:t>
      </w:r>
    </w:p>
    <w:p w14:paraId="7C10E7F9" w14:textId="2B6BAD5F" w:rsidR="003642C0" w:rsidRPr="003642C0" w:rsidRDefault="003642C0" w:rsidP="003642C0">
      <w:pPr>
        <w:pStyle w:val="Level1fo"/>
        <w:keepNext/>
      </w:pPr>
      <w:r w:rsidRPr="003642C0">
        <w:t xml:space="preserve">Information </w:t>
      </w:r>
      <w:r>
        <w:t xml:space="preserve">required to be </w:t>
      </w:r>
      <w:r w:rsidR="00921F75">
        <w:t>disclosed</w:t>
      </w:r>
      <w:r>
        <w:t xml:space="preserve"> to ASX is usually referred to as </w:t>
      </w:r>
      <w:r w:rsidRPr="003642C0">
        <w:rPr>
          <w:b/>
        </w:rPr>
        <w:t>price</w:t>
      </w:r>
      <w:r w:rsidR="00AE54E7">
        <w:rPr>
          <w:b/>
        </w:rPr>
        <w:t>-</w:t>
      </w:r>
      <w:r w:rsidRPr="003642C0">
        <w:rPr>
          <w:b/>
        </w:rPr>
        <w:t>sensitive information</w:t>
      </w:r>
      <w:r>
        <w:t xml:space="preserve">, </w:t>
      </w:r>
      <w:r w:rsidR="00921F75">
        <w:t>and</w:t>
      </w:r>
      <w:r>
        <w:t xml:space="preserve"> may include</w:t>
      </w:r>
      <w:r w:rsidRPr="003642C0">
        <w:t>:</w:t>
      </w:r>
    </w:p>
    <w:p w14:paraId="2FA03345" w14:textId="77777777" w:rsidR="003642C0" w:rsidRDefault="003642C0" w:rsidP="003642C0">
      <w:pPr>
        <w:pStyle w:val="Levela"/>
      </w:pPr>
      <w:r>
        <w:t>significant changes in financial forecasts or expectations;</w:t>
      </w:r>
    </w:p>
    <w:p w14:paraId="2FDBA2A1" w14:textId="77777777" w:rsidR="003642C0" w:rsidRDefault="003642C0" w:rsidP="003642C0">
      <w:pPr>
        <w:pStyle w:val="Levela"/>
      </w:pPr>
      <w:r>
        <w:t>significant new projects or ventures;</w:t>
      </w:r>
    </w:p>
    <w:p w14:paraId="17FAB5AF" w14:textId="77777777" w:rsidR="003642C0" w:rsidRDefault="003642C0" w:rsidP="003642C0">
      <w:pPr>
        <w:pStyle w:val="Levela"/>
      </w:pPr>
      <w:r>
        <w:t>significant acquisitions, divestments or restructures;</w:t>
      </w:r>
    </w:p>
    <w:p w14:paraId="0818C116" w14:textId="77777777" w:rsidR="00F51801" w:rsidRDefault="00F51801" w:rsidP="003642C0">
      <w:pPr>
        <w:pStyle w:val="Levela"/>
      </w:pPr>
      <w:r>
        <w:t>entry into, and renewal or termination of, significant contracts;</w:t>
      </w:r>
    </w:p>
    <w:p w14:paraId="38B4198C" w14:textId="77777777" w:rsidR="003642C0" w:rsidRDefault="003642C0" w:rsidP="003642C0">
      <w:pPr>
        <w:pStyle w:val="Levela"/>
      </w:pPr>
      <w:r>
        <w:t>dividend declarations and changes in dividend policy;</w:t>
      </w:r>
    </w:p>
    <w:p w14:paraId="7044DE4F" w14:textId="77777777" w:rsidR="003642C0" w:rsidRDefault="003642C0" w:rsidP="003642C0">
      <w:pPr>
        <w:pStyle w:val="Levela"/>
      </w:pPr>
      <w:r>
        <w:t>changes in directors and the senior leadership team; and</w:t>
      </w:r>
    </w:p>
    <w:p w14:paraId="1D115D5C" w14:textId="77777777" w:rsidR="003642C0" w:rsidRDefault="003642C0" w:rsidP="003642C0">
      <w:pPr>
        <w:pStyle w:val="Levela"/>
      </w:pPr>
      <w:r>
        <w:t xml:space="preserve">regulatory or other external changes </w:t>
      </w:r>
      <w:r w:rsidR="00B829A8">
        <w:t>likely to have</w:t>
      </w:r>
      <w:r>
        <w:t xml:space="preserve"> a significant effect on the Company. </w:t>
      </w:r>
    </w:p>
    <w:p w14:paraId="3E375230" w14:textId="77777777" w:rsidR="003642C0" w:rsidRDefault="003642C0" w:rsidP="003642C0">
      <w:pPr>
        <w:pStyle w:val="Level11"/>
      </w:pPr>
      <w:r>
        <w:t>When is the Company aware of price-sensitive information</w:t>
      </w:r>
      <w:r w:rsidR="00B829A8">
        <w:t>?</w:t>
      </w:r>
    </w:p>
    <w:p w14:paraId="6B58C504" w14:textId="77777777" w:rsidR="003642C0" w:rsidRDefault="003642C0" w:rsidP="003642C0">
      <w:pPr>
        <w:pStyle w:val="Level1fo"/>
      </w:pPr>
      <w:r w:rsidRPr="003642C0">
        <w:t xml:space="preserve">The Company </w:t>
      </w:r>
      <w:r w:rsidR="00921F75">
        <w:t>is taken to</w:t>
      </w:r>
      <w:r w:rsidRPr="003642C0">
        <w:t xml:space="preserve"> be</w:t>
      </w:r>
      <w:r>
        <w:t xml:space="preserve"> aware</w:t>
      </w:r>
      <w:r w:rsidRPr="003642C0">
        <w:t xml:space="preserve"> of information if a director or executive officer has, or ought reasonably to have, come into possession of the information in the course of the performance of their duties as a director or executive officer of the Company</w:t>
      </w:r>
      <w:r>
        <w:t>.</w:t>
      </w:r>
    </w:p>
    <w:p w14:paraId="478B1287" w14:textId="77777777" w:rsidR="0028385E" w:rsidRDefault="003642C0" w:rsidP="003642C0">
      <w:pPr>
        <w:pStyle w:val="Level11"/>
      </w:pPr>
      <w:bookmarkStart w:id="0" w:name="_Ref453059329"/>
      <w:r>
        <w:t>Exception</w:t>
      </w:r>
      <w:bookmarkEnd w:id="0"/>
    </w:p>
    <w:p w14:paraId="3D52AA6C" w14:textId="77777777" w:rsidR="00B829A8" w:rsidRPr="00E5139D" w:rsidRDefault="00B829A8" w:rsidP="00B829A8">
      <w:pPr>
        <w:pStyle w:val="Level11fo"/>
        <w:keepNext/>
      </w:pPr>
      <w:r>
        <w:t>Price-sensitive information need not be notified to ASX</w:t>
      </w:r>
      <w:r w:rsidRPr="00E5139D">
        <w:t xml:space="preserve"> if the information is confidential </w:t>
      </w:r>
      <w:r w:rsidRPr="00690EC4">
        <w:rPr>
          <w:u w:val="single"/>
        </w:rPr>
        <w:t>and</w:t>
      </w:r>
      <w:r w:rsidRPr="00E5139D">
        <w:t xml:space="preserve"> a reasonable person would not expect </w:t>
      </w:r>
      <w:r>
        <w:t>the information</w:t>
      </w:r>
      <w:r w:rsidRPr="00E5139D">
        <w:t xml:space="preserve"> to be disclosed </w:t>
      </w:r>
      <w:r w:rsidRPr="00690EC4">
        <w:rPr>
          <w:u w:val="single"/>
        </w:rPr>
        <w:t>and</w:t>
      </w:r>
      <w:r w:rsidRPr="00E5139D">
        <w:t>:</w:t>
      </w:r>
    </w:p>
    <w:p w14:paraId="2760C1DC" w14:textId="77777777" w:rsidR="00B829A8" w:rsidRPr="00690EC4" w:rsidRDefault="00B829A8" w:rsidP="000B7492">
      <w:pPr>
        <w:pStyle w:val="Levela"/>
        <w:numPr>
          <w:ilvl w:val="2"/>
          <w:numId w:val="7"/>
        </w:numPr>
        <w:ind w:left="1440"/>
      </w:pPr>
      <w:r w:rsidRPr="00690EC4">
        <w:t>it would be a breach of the law to disclose the information; or</w:t>
      </w:r>
    </w:p>
    <w:p w14:paraId="45F9D97B" w14:textId="77777777" w:rsidR="00B829A8" w:rsidRPr="00690EC4" w:rsidRDefault="00B829A8" w:rsidP="000B7492">
      <w:pPr>
        <w:pStyle w:val="Levela"/>
        <w:numPr>
          <w:ilvl w:val="2"/>
          <w:numId w:val="7"/>
        </w:numPr>
        <w:ind w:left="1440"/>
      </w:pPr>
      <w:r w:rsidRPr="00690EC4">
        <w:t>the information concerns an incomplete proposal or negotiation; or</w:t>
      </w:r>
    </w:p>
    <w:p w14:paraId="1D19253E" w14:textId="77777777" w:rsidR="00B829A8" w:rsidRPr="00690EC4" w:rsidRDefault="00B829A8" w:rsidP="000B7492">
      <w:pPr>
        <w:pStyle w:val="Levela"/>
        <w:numPr>
          <w:ilvl w:val="2"/>
          <w:numId w:val="7"/>
        </w:numPr>
        <w:ind w:left="1440"/>
      </w:pPr>
      <w:r w:rsidRPr="00690EC4">
        <w:t>the information comprises of matters of supposition or is insufficiently definite to warrant disclosure; or</w:t>
      </w:r>
    </w:p>
    <w:p w14:paraId="68B68207" w14:textId="77777777" w:rsidR="00B829A8" w:rsidRPr="00690EC4" w:rsidRDefault="00B829A8" w:rsidP="000B7492">
      <w:pPr>
        <w:pStyle w:val="Levela"/>
        <w:numPr>
          <w:ilvl w:val="2"/>
          <w:numId w:val="7"/>
        </w:numPr>
        <w:ind w:left="1440"/>
      </w:pPr>
      <w:r w:rsidRPr="00690EC4">
        <w:lastRenderedPageBreak/>
        <w:t>the information is generated for internal management purposes; or</w:t>
      </w:r>
    </w:p>
    <w:p w14:paraId="3CA743D3" w14:textId="77777777" w:rsidR="00B829A8" w:rsidRDefault="00B829A8" w:rsidP="000B7492">
      <w:pPr>
        <w:pStyle w:val="Levela"/>
        <w:numPr>
          <w:ilvl w:val="2"/>
          <w:numId w:val="7"/>
        </w:numPr>
        <w:ind w:left="1440"/>
        <w:rPr>
          <w:color w:val="000000"/>
        </w:rPr>
      </w:pPr>
      <w:r w:rsidRPr="00690EC4">
        <w:t>the information is a trade secret</w:t>
      </w:r>
      <w:r>
        <w:rPr>
          <w:color w:val="000000"/>
        </w:rPr>
        <w:t>.</w:t>
      </w:r>
    </w:p>
    <w:p w14:paraId="77E1C419" w14:textId="77777777" w:rsidR="007E1B5E" w:rsidRPr="007E1B5E" w:rsidRDefault="007E1B5E" w:rsidP="007E1B5E">
      <w:pPr>
        <w:pStyle w:val="Level11fo"/>
      </w:pPr>
      <w:r>
        <w:t>The c</w:t>
      </w:r>
      <w:r w:rsidRPr="007E1B5E">
        <w:t xml:space="preserve">onfidentiality </w:t>
      </w:r>
      <w:r>
        <w:t xml:space="preserve">of information </w:t>
      </w:r>
      <w:r w:rsidRPr="007E1B5E">
        <w:t>will be lost i</w:t>
      </w:r>
      <w:r>
        <w:t>f the information becomes known</w:t>
      </w:r>
      <w:r w:rsidRPr="007E1B5E">
        <w:t xml:space="preserve"> selectively or generally, whether inadvertently or deliberately</w:t>
      </w:r>
      <w:r>
        <w:t xml:space="preserve"> (for example as a result of a “leak”)</w:t>
      </w:r>
      <w:r w:rsidRPr="007E1B5E">
        <w:t xml:space="preserve">. </w:t>
      </w:r>
      <w:r>
        <w:t xml:space="preserve"> The Company </w:t>
      </w:r>
      <w:r w:rsidRPr="007E1B5E">
        <w:t xml:space="preserve">should ensure that employees and third parties having access to confidential information are made aware of and </w:t>
      </w:r>
      <w:r>
        <w:t>are bound</w:t>
      </w:r>
      <w:r w:rsidRPr="007E1B5E">
        <w:t xml:space="preserve"> to </w:t>
      </w:r>
      <w:r>
        <w:t>maintain</w:t>
      </w:r>
      <w:r w:rsidRPr="007E1B5E">
        <w:t xml:space="preserve"> the</w:t>
      </w:r>
      <w:r>
        <w:t xml:space="preserve"> </w:t>
      </w:r>
      <w:r w:rsidRPr="007E1B5E">
        <w:t>confidentiality of the information.</w:t>
      </w:r>
    </w:p>
    <w:p w14:paraId="2B2CFA1B" w14:textId="77777777" w:rsidR="007E1B5E" w:rsidRPr="007E1B5E" w:rsidRDefault="007E1B5E" w:rsidP="007E1B5E">
      <w:pPr>
        <w:pStyle w:val="Level11fo"/>
      </w:pPr>
      <w:r w:rsidRPr="007E1B5E">
        <w:t xml:space="preserve">The </w:t>
      </w:r>
      <w:r>
        <w:t xml:space="preserve">above </w:t>
      </w:r>
      <w:r w:rsidRPr="007E1B5E">
        <w:t xml:space="preserve">exception in the </w:t>
      </w:r>
      <w:r>
        <w:t xml:space="preserve">ASX </w:t>
      </w:r>
      <w:r w:rsidRPr="007E1B5E">
        <w:t>Listing Rules cannot be relied on if there is a period of</w:t>
      </w:r>
      <w:r>
        <w:t xml:space="preserve"> </w:t>
      </w:r>
      <w:r w:rsidRPr="007E1B5E">
        <w:t>self-dealing (for example, during a share buy–back).</w:t>
      </w:r>
    </w:p>
    <w:p w14:paraId="77839D92" w14:textId="77777777" w:rsidR="007E1B5E" w:rsidRDefault="007E1B5E" w:rsidP="007E1B5E">
      <w:pPr>
        <w:pStyle w:val="Level11"/>
      </w:pPr>
      <w:r>
        <w:t>False markets</w:t>
      </w:r>
    </w:p>
    <w:p w14:paraId="0F40D9FC" w14:textId="77777777" w:rsidR="00B829A8" w:rsidRDefault="00B829A8" w:rsidP="00B829A8">
      <w:pPr>
        <w:pStyle w:val="Level11fo"/>
      </w:pPr>
      <w:r>
        <w:t>Despite this exception, ASX can compel disclosure of price-sensitive information if ASX considers that there is or is likely to be a false market in the Company’s securities (for example because of information contained in a press or analyst report) and considers disclosure is necessary to correct or prevent the existence of a false market</w:t>
      </w:r>
      <w:r w:rsidR="00921F75">
        <w:t xml:space="preserve"> (ASX Listing Rule 3.1B)</w:t>
      </w:r>
      <w:r>
        <w:t>.</w:t>
      </w:r>
    </w:p>
    <w:p w14:paraId="45F75A69" w14:textId="77777777" w:rsidR="003642C0" w:rsidRDefault="00B829A8" w:rsidP="00B829A8">
      <w:pPr>
        <w:pStyle w:val="Level1"/>
      </w:pPr>
      <w:r>
        <w:t>RESPONSIBILITIES</w:t>
      </w:r>
      <w:r w:rsidR="005833AD">
        <w:t xml:space="preserve"> IN RELATION TO CONTINUOUS DISCLOSURE</w:t>
      </w:r>
    </w:p>
    <w:p w14:paraId="3D543B05" w14:textId="77777777" w:rsidR="00B829A8" w:rsidRDefault="00B829A8" w:rsidP="00B829A8">
      <w:pPr>
        <w:pStyle w:val="Level11"/>
      </w:pPr>
      <w:r>
        <w:t xml:space="preserve">Board </w:t>
      </w:r>
    </w:p>
    <w:p w14:paraId="63691697" w14:textId="04557007" w:rsidR="007E1B5E" w:rsidRDefault="00B829A8" w:rsidP="00AE093B">
      <w:pPr>
        <w:pStyle w:val="Levela"/>
      </w:pPr>
      <w:r>
        <w:t xml:space="preserve">It is a standing agenda item at all Board meetings for the Board to consider whether any information discussed at the Board meeting is required to be </w:t>
      </w:r>
      <w:r w:rsidR="00D7203A">
        <w:t>disclos</w:t>
      </w:r>
      <w:r>
        <w:t>ed to ASX.</w:t>
      </w:r>
      <w:r w:rsidR="00D7203A">
        <w:t xml:space="preserve">  The Board </w:t>
      </w:r>
      <w:r w:rsidR="00921F75">
        <w:t>will</w:t>
      </w:r>
      <w:r w:rsidR="00D7203A">
        <w:t xml:space="preserve"> inform the Company Secretary immediately after </w:t>
      </w:r>
      <w:r w:rsidR="00921F75">
        <w:t>the Board</w:t>
      </w:r>
      <w:r w:rsidR="00D7203A">
        <w:t xml:space="preserve"> becomes aware of information that may </w:t>
      </w:r>
      <w:r w:rsidR="00597682">
        <w:t>be</w:t>
      </w:r>
      <w:r w:rsidR="00D7203A">
        <w:t xml:space="preserve"> price-sensitive information.</w:t>
      </w:r>
      <w:r w:rsidR="007E1B5E">
        <w:t xml:space="preserve">  This should be done </w:t>
      </w:r>
      <w:r w:rsidR="007E1B5E" w:rsidRPr="007E1B5E">
        <w:t>regardless of whether the</w:t>
      </w:r>
      <w:r w:rsidR="00597682">
        <w:t xml:space="preserve"> Board</w:t>
      </w:r>
      <w:r w:rsidR="007E1B5E">
        <w:t xml:space="preserve"> </w:t>
      </w:r>
      <w:r w:rsidR="007E1B5E" w:rsidRPr="007E1B5E">
        <w:t>consider</w:t>
      </w:r>
      <w:r w:rsidR="00597682">
        <w:t>s</w:t>
      </w:r>
      <w:r w:rsidR="007E1B5E" w:rsidRPr="007E1B5E">
        <w:t xml:space="preserve"> the </w:t>
      </w:r>
      <w:r w:rsidR="007E1B5E">
        <w:t>exception to disclosure mentioned in section </w:t>
      </w:r>
      <w:r w:rsidR="007E1B5E">
        <w:fldChar w:fldCharType="begin"/>
      </w:r>
      <w:r w:rsidR="007E1B5E">
        <w:instrText xml:space="preserve"> REF _Ref453059329 \w \h </w:instrText>
      </w:r>
      <w:r w:rsidR="007E1B5E">
        <w:fldChar w:fldCharType="separate"/>
      </w:r>
      <w:r w:rsidR="003E3EA0">
        <w:t>2.4</w:t>
      </w:r>
      <w:r w:rsidR="007E1B5E">
        <w:fldChar w:fldCharType="end"/>
      </w:r>
      <w:r w:rsidR="007E1B5E">
        <w:t xml:space="preserve"> applies.  </w:t>
      </w:r>
      <w:r w:rsidR="007E1B5E" w:rsidRPr="007E1B5E">
        <w:t>If in doubt, directors should consult with the Company Secretary to clarify whether</w:t>
      </w:r>
      <w:r w:rsidR="007E1B5E">
        <w:t xml:space="preserve"> </w:t>
      </w:r>
      <w:r w:rsidR="007E1B5E" w:rsidRPr="007E1B5E">
        <w:t>information is price</w:t>
      </w:r>
      <w:r w:rsidR="00597682">
        <w:t>-</w:t>
      </w:r>
      <w:r w:rsidR="007E1B5E" w:rsidRPr="007E1B5E">
        <w:t>sensitive</w:t>
      </w:r>
      <w:r w:rsidR="00597682">
        <w:t>.</w:t>
      </w:r>
    </w:p>
    <w:p w14:paraId="51948EA6" w14:textId="77777777" w:rsidR="00AE093B" w:rsidRDefault="00AE093B" w:rsidP="00AE093B">
      <w:pPr>
        <w:pStyle w:val="Levela"/>
      </w:pPr>
      <w:r>
        <w:t>All directors are registered with ASX Online to receive a copy of all announcements concerning the Company promptly after the announcement has been made to ASX.</w:t>
      </w:r>
    </w:p>
    <w:p w14:paraId="4B315071" w14:textId="77777777" w:rsidR="00B829A8" w:rsidRDefault="00B829A8" w:rsidP="00B829A8">
      <w:pPr>
        <w:pStyle w:val="Level11"/>
      </w:pPr>
      <w:r>
        <w:t>Company Secretary</w:t>
      </w:r>
    </w:p>
    <w:p w14:paraId="3DE7EC99" w14:textId="77777777" w:rsidR="00B829A8" w:rsidRPr="00B829A8" w:rsidRDefault="00B829A8" w:rsidP="00B829A8">
      <w:pPr>
        <w:pStyle w:val="Level1fo"/>
      </w:pPr>
      <w:r>
        <w:t xml:space="preserve">The Company Secretary has principal responsibility for communicating </w:t>
      </w:r>
      <w:r w:rsidR="00452D9E">
        <w:t xml:space="preserve">and managing the Company’s relationship </w:t>
      </w:r>
      <w:r>
        <w:t>with ASX and for ensuring that appropriate a</w:t>
      </w:r>
      <w:r w:rsidR="000B7492">
        <w:t>rrangements are in place</w:t>
      </w:r>
      <w:r>
        <w:t xml:space="preserve"> </w:t>
      </w:r>
      <w:r w:rsidR="000B7492">
        <w:t xml:space="preserve">to ensure that the Company complies with its </w:t>
      </w:r>
      <w:r w:rsidR="005833AD">
        <w:t xml:space="preserve">periodic and </w:t>
      </w:r>
      <w:r w:rsidR="000B7492">
        <w:t>continuous disclosure obligations under the ASX Listing Rules and the Corporations Act.</w:t>
      </w:r>
    </w:p>
    <w:p w14:paraId="056C727E" w14:textId="77777777" w:rsidR="00B829A8" w:rsidRDefault="000B7492" w:rsidP="000B7492">
      <w:pPr>
        <w:pStyle w:val="Level11"/>
      </w:pPr>
      <w:r>
        <w:t>Senior Leadership Team</w:t>
      </w:r>
    </w:p>
    <w:p w14:paraId="2C70F523" w14:textId="0178CB97" w:rsidR="000B7492" w:rsidRDefault="000B7492" w:rsidP="00D7203A">
      <w:pPr>
        <w:pStyle w:val="Level1fo"/>
      </w:pPr>
      <w:r>
        <w:t xml:space="preserve">The Senior Leadership Team must inform the Company Secretary immediately after it becomes aware of information that may </w:t>
      </w:r>
      <w:r w:rsidR="00597682">
        <w:t>be</w:t>
      </w:r>
      <w:r>
        <w:t xml:space="preserve"> price-sensitive.</w:t>
      </w:r>
      <w:r w:rsidR="007E1B5E">
        <w:t xml:space="preserve">  This should be done </w:t>
      </w:r>
      <w:r w:rsidR="007E1B5E" w:rsidRPr="007E1B5E">
        <w:t>regardless of whether they</w:t>
      </w:r>
      <w:r w:rsidR="007E1B5E">
        <w:t xml:space="preserve"> </w:t>
      </w:r>
      <w:r w:rsidR="007E1B5E" w:rsidRPr="007E1B5E">
        <w:t xml:space="preserve">consider the </w:t>
      </w:r>
      <w:r w:rsidR="007E1B5E">
        <w:t>exception to disclosure mentioned in section </w:t>
      </w:r>
      <w:r w:rsidR="007E1B5E">
        <w:fldChar w:fldCharType="begin"/>
      </w:r>
      <w:r w:rsidR="007E1B5E">
        <w:instrText xml:space="preserve"> REF _Ref453059329 \w \h </w:instrText>
      </w:r>
      <w:r w:rsidR="007E1B5E">
        <w:fldChar w:fldCharType="separate"/>
      </w:r>
      <w:r w:rsidR="003E3EA0">
        <w:t>2.4</w:t>
      </w:r>
      <w:r w:rsidR="007E1B5E">
        <w:fldChar w:fldCharType="end"/>
      </w:r>
      <w:r w:rsidR="007E1B5E">
        <w:t xml:space="preserve"> applies.  </w:t>
      </w:r>
      <w:r w:rsidR="007E1B5E" w:rsidRPr="007E1B5E">
        <w:t xml:space="preserve">If in doubt, </w:t>
      </w:r>
      <w:r w:rsidR="007E1B5E">
        <w:t xml:space="preserve">the Senior Leadership Team </w:t>
      </w:r>
      <w:r w:rsidR="007E1B5E" w:rsidRPr="007E1B5E">
        <w:t>should consult with the Company Secretary to clarify whether</w:t>
      </w:r>
      <w:r w:rsidR="007E1B5E">
        <w:t xml:space="preserve"> </w:t>
      </w:r>
      <w:r w:rsidR="007E1B5E" w:rsidRPr="007E1B5E">
        <w:t>information is price</w:t>
      </w:r>
      <w:r w:rsidR="00597682">
        <w:t>-</w:t>
      </w:r>
      <w:r w:rsidR="007E1B5E" w:rsidRPr="007E1B5E">
        <w:t>sensitive.</w:t>
      </w:r>
    </w:p>
    <w:p w14:paraId="0478FD63" w14:textId="77777777" w:rsidR="00D7203A" w:rsidRDefault="004D6A06" w:rsidP="004D6A06">
      <w:pPr>
        <w:pStyle w:val="Level11"/>
      </w:pPr>
      <w:r>
        <w:lastRenderedPageBreak/>
        <w:t>Considerat</w:t>
      </w:r>
      <w:r w:rsidR="00B777A0">
        <w:t>ion of i</w:t>
      </w:r>
      <w:r>
        <w:t>nformation for disclosure</w:t>
      </w:r>
      <w:r w:rsidR="00B777A0">
        <w:t xml:space="preserve"> to ASX</w:t>
      </w:r>
    </w:p>
    <w:p w14:paraId="309D5EE3" w14:textId="39D527B4" w:rsidR="004D6A06" w:rsidRDefault="000B7492" w:rsidP="00D7203A">
      <w:pPr>
        <w:pStyle w:val="Levela"/>
      </w:pPr>
      <w:r>
        <w:t xml:space="preserve">The Company Secretary will review any information notified by the </w:t>
      </w:r>
      <w:r w:rsidR="00D7203A">
        <w:t xml:space="preserve">Board or the </w:t>
      </w:r>
      <w:r>
        <w:t>Senior Leadership Team and will consult with the CEO</w:t>
      </w:r>
      <w:r w:rsidR="00597682">
        <w:t xml:space="preserve"> and</w:t>
      </w:r>
      <w:r>
        <w:t xml:space="preserve"> CFO about whether the information is required to be </w:t>
      </w:r>
      <w:r w:rsidR="00D7203A">
        <w:t>disclos</w:t>
      </w:r>
      <w:r>
        <w:t>ed to ASX</w:t>
      </w:r>
      <w:r w:rsidR="00721F33">
        <w:t xml:space="preserve"> and, if so, the </w:t>
      </w:r>
      <w:r w:rsidR="00D7203A">
        <w:t>form of the required disclosure</w:t>
      </w:r>
      <w:r>
        <w:t>.</w:t>
      </w:r>
      <w:r w:rsidR="00D7203A">
        <w:t xml:space="preserve">  </w:t>
      </w:r>
    </w:p>
    <w:p w14:paraId="204DEC7B" w14:textId="77777777" w:rsidR="000B7492" w:rsidRDefault="004D6A06" w:rsidP="00D7203A">
      <w:pPr>
        <w:pStyle w:val="Levela"/>
      </w:pPr>
      <w:r>
        <w:t>If, after consultation, a decision on disclosure cannot be made, the information must be reported to the Chairman for review and determination.</w:t>
      </w:r>
    </w:p>
    <w:p w14:paraId="6875DF22" w14:textId="4160E9D0" w:rsidR="005833AD" w:rsidRDefault="00D7203A" w:rsidP="000B7492">
      <w:pPr>
        <w:pStyle w:val="Levela"/>
      </w:pPr>
      <w:r>
        <w:t xml:space="preserve">If it is decided that the information will be disclosed, the information and the proposed </w:t>
      </w:r>
      <w:r w:rsidR="00685E3F">
        <w:t xml:space="preserve">substance </w:t>
      </w:r>
      <w:r>
        <w:t xml:space="preserve">of the disclosure must be </w:t>
      </w:r>
      <w:r w:rsidR="005833AD">
        <w:t>provided</w:t>
      </w:r>
      <w:r>
        <w:t xml:space="preserve"> to the Chairman</w:t>
      </w:r>
      <w:r w:rsidR="005833AD">
        <w:t xml:space="preserve"> for review</w:t>
      </w:r>
      <w:r>
        <w:t>.</w:t>
      </w:r>
      <w:r w:rsidR="005833AD">
        <w:t xml:space="preserve">  </w:t>
      </w:r>
    </w:p>
    <w:p w14:paraId="0CFDFAE3" w14:textId="77777777" w:rsidR="005833AD" w:rsidRDefault="005833AD" w:rsidP="00EB677A">
      <w:pPr>
        <w:pStyle w:val="Levela"/>
      </w:pPr>
      <w:r>
        <w:t>Any highly strategic or material announcements relating to the Company should be reviewed by the Board before disclosure.</w:t>
      </w:r>
    </w:p>
    <w:p w14:paraId="068EA0A6" w14:textId="77777777" w:rsidR="005833AD" w:rsidRDefault="005833AD" w:rsidP="005833AD">
      <w:pPr>
        <w:pStyle w:val="Level11"/>
      </w:pPr>
      <w:r>
        <w:t xml:space="preserve">Inadvertent </w:t>
      </w:r>
      <w:r w:rsidR="000F168C">
        <w:t>publication</w:t>
      </w:r>
      <w:r>
        <w:t xml:space="preserve"> of price-sensitive information</w:t>
      </w:r>
    </w:p>
    <w:p w14:paraId="28B5AD0A" w14:textId="77777777" w:rsidR="005833AD" w:rsidRPr="005833AD" w:rsidRDefault="000F168C" w:rsidP="005833AD">
      <w:pPr>
        <w:pStyle w:val="Level1fo"/>
      </w:pPr>
      <w:r>
        <w:t>If a director or employee thinks that information that might be price-sensitive has been inadvertently made public, the employee must immediately inform the Company Secretary</w:t>
      </w:r>
      <w:r w:rsidR="00921F75">
        <w:t xml:space="preserve"> who will arrange for disclosure to ASX in accordance with this policy</w:t>
      </w:r>
      <w:r>
        <w:t>.</w:t>
      </w:r>
    </w:p>
    <w:p w14:paraId="5CBC1CF7" w14:textId="77777777" w:rsidR="00D7203A" w:rsidRDefault="00D7203A" w:rsidP="00D7203A">
      <w:pPr>
        <w:pStyle w:val="Level11"/>
      </w:pPr>
      <w:r>
        <w:t>Trading halts</w:t>
      </w:r>
    </w:p>
    <w:p w14:paraId="37B022BF" w14:textId="77777777" w:rsidR="00D7203A" w:rsidRDefault="00D7203A" w:rsidP="003642C0">
      <w:pPr>
        <w:pStyle w:val="Level1fo"/>
      </w:pPr>
      <w:r w:rsidRPr="00D7203A">
        <w:t xml:space="preserve">It may be necessary to request a trading halt from the ASX to maintain orderly trading in the Company’s securities and to manage disclosure issues. </w:t>
      </w:r>
      <w:r>
        <w:t xml:space="preserve"> </w:t>
      </w:r>
      <w:r w:rsidRPr="00D7203A">
        <w:t xml:space="preserve">The </w:t>
      </w:r>
      <w:r>
        <w:t xml:space="preserve">CEO, in consultation with the </w:t>
      </w:r>
      <w:r w:rsidR="0068051B">
        <w:t xml:space="preserve">Chairman and the </w:t>
      </w:r>
      <w:r w:rsidRPr="00D7203A">
        <w:t>Company</w:t>
      </w:r>
      <w:r>
        <w:t xml:space="preserve"> Secretary, </w:t>
      </w:r>
      <w:r w:rsidRPr="00D7203A">
        <w:t xml:space="preserve">will make all decisions in relation to trading halts. </w:t>
      </w:r>
      <w:r>
        <w:t xml:space="preserve"> </w:t>
      </w:r>
    </w:p>
    <w:p w14:paraId="7B31CC41" w14:textId="77777777" w:rsidR="00452D9E" w:rsidRDefault="00E32F51" w:rsidP="00452D9E">
      <w:pPr>
        <w:pStyle w:val="Level1"/>
      </w:pPr>
      <w:r>
        <w:rPr>
          <w:caps w:val="0"/>
        </w:rPr>
        <w:t>OTHER EXTERNAL COMMUNICATIONS</w:t>
      </w:r>
    </w:p>
    <w:p w14:paraId="4075D5C5" w14:textId="77777777" w:rsidR="00E32F51" w:rsidRDefault="00E32F51" w:rsidP="00E32F51">
      <w:pPr>
        <w:pStyle w:val="Level11"/>
      </w:pPr>
      <w:r>
        <w:t xml:space="preserve">No </w:t>
      </w:r>
      <w:r w:rsidR="000A47FD">
        <w:t xml:space="preserve">early or </w:t>
      </w:r>
      <w:r>
        <w:t>selective disclosure of price-sensitive information</w:t>
      </w:r>
    </w:p>
    <w:p w14:paraId="0396BFA9" w14:textId="77777777" w:rsidR="00921F75" w:rsidRPr="00921F75" w:rsidRDefault="00921F75" w:rsidP="00921F75">
      <w:pPr>
        <w:pStyle w:val="Level1fo"/>
        <w:keepNext/>
      </w:pPr>
      <w:r>
        <w:t>The following principles govern all external communications referred to in this section 4.</w:t>
      </w:r>
    </w:p>
    <w:p w14:paraId="494368BF" w14:textId="18565FF7" w:rsidR="000A47FD" w:rsidRDefault="000A47FD" w:rsidP="008A39E9">
      <w:pPr>
        <w:pStyle w:val="Levela"/>
      </w:pPr>
      <w:r>
        <w:t>Price-sensitive information must be disclosed to the ASX before it is disclosed to any other person</w:t>
      </w:r>
      <w:r w:rsidR="00E00F72">
        <w:t>.  Any person authorised to speak on behalf of the Company must not disclose price-sensitive information to any other person unless the information has been released to the market through ASX, but may clarify price-sensitive information that has already been released to the market through ASX.</w:t>
      </w:r>
      <w:r w:rsidR="006D6424">
        <w:t xml:space="preserve">  The </w:t>
      </w:r>
      <w:r w:rsidR="00597682">
        <w:t>Company Secretary</w:t>
      </w:r>
      <w:r w:rsidR="006D6424">
        <w:t>, in consultation with the CEO</w:t>
      </w:r>
      <w:r w:rsidR="00597682">
        <w:t xml:space="preserve"> and</w:t>
      </w:r>
      <w:r w:rsidR="006D6424">
        <w:t xml:space="preserve"> CFO will prepare Q&amp;As to help spokespeople in responding to questions about strategic or material announcements relating to the Company.</w:t>
      </w:r>
    </w:p>
    <w:p w14:paraId="3A1643A0" w14:textId="77777777" w:rsidR="008A39E9" w:rsidRDefault="008A39E9" w:rsidP="008A39E9">
      <w:pPr>
        <w:pStyle w:val="Levela"/>
      </w:pPr>
      <w:r>
        <w:t>However, it is in the interests of shareholders for the media and the investment community (including investment analysts and brokers, proxy and governance advisers and investors) to understand the Company’s business, operations and activities.  The Company therefore may provide the media and the investment community with background and technical information that is not price-sensitive to assist their understanding of the Company’s business, operations and activities.</w:t>
      </w:r>
      <w:r w:rsidR="007F47B4">
        <w:t xml:space="preserve">  </w:t>
      </w:r>
    </w:p>
    <w:p w14:paraId="032D1B9C" w14:textId="5A4824EE" w:rsidR="007F47B4" w:rsidRDefault="007F47B4" w:rsidP="007F47B4">
      <w:pPr>
        <w:pStyle w:val="Levela"/>
      </w:pPr>
      <w:r>
        <w:t xml:space="preserve">If material information is to be provided to the media or the investment community, the information must first be provided to the Company Secretary for review.  Even if the information is not price-sensitive, it will be good practice in such cases for the </w:t>
      </w:r>
      <w:r>
        <w:lastRenderedPageBreak/>
        <w:t>information to be released to the market through ASX before any presentation to the investment community.</w:t>
      </w:r>
    </w:p>
    <w:p w14:paraId="7488D1E9" w14:textId="77777777" w:rsidR="000F168C" w:rsidRDefault="000F168C" w:rsidP="007F47B4">
      <w:pPr>
        <w:pStyle w:val="Levela"/>
      </w:pPr>
      <w:r>
        <w:t>If a director or employee is asked a question that can only be answered by disclosing price-sensitive information, the director or employee should decline to answer the question.</w:t>
      </w:r>
    </w:p>
    <w:p w14:paraId="3FE9D839" w14:textId="77777777" w:rsidR="00AE54E7" w:rsidRPr="000E7196" w:rsidRDefault="00AE54E7" w:rsidP="00E00F72">
      <w:pPr>
        <w:pStyle w:val="Level11"/>
      </w:pPr>
      <w:r w:rsidRPr="000E7196">
        <w:t>Validation of information released to the market</w:t>
      </w:r>
    </w:p>
    <w:p w14:paraId="0918E7F0" w14:textId="77777777" w:rsidR="00AE54E7" w:rsidRDefault="00AE54E7" w:rsidP="00AE54E7">
      <w:pPr>
        <w:pStyle w:val="Level1fo"/>
        <w:keepNext/>
      </w:pPr>
      <w:r>
        <w:t>The Company maintains processes to validate that its annual directors’ report and any other corporate reports it releases to the market are accurate, balanced and understandable and provide investors with appropriate information to make informed investment decisions.  These processes include:</w:t>
      </w:r>
    </w:p>
    <w:p w14:paraId="1B86A4E0" w14:textId="77777777" w:rsidR="00303C65" w:rsidRDefault="00303C65" w:rsidP="00001E3F">
      <w:pPr>
        <w:pStyle w:val="Levela"/>
      </w:pPr>
      <w:r>
        <w:t xml:space="preserve">in relation to the Company’s financial reports, </w:t>
      </w:r>
      <w:r w:rsidR="00B20467">
        <w:t xml:space="preserve">internal </w:t>
      </w:r>
      <w:r w:rsidR="00767184">
        <w:t xml:space="preserve">systems and </w:t>
      </w:r>
      <w:r w:rsidR="00B20467">
        <w:t>controls</w:t>
      </w:r>
      <w:r w:rsidR="00767184">
        <w:t xml:space="preserve"> for </w:t>
      </w:r>
      <w:r>
        <w:t xml:space="preserve">accurately </w:t>
      </w:r>
      <w:r w:rsidR="00767184">
        <w:t xml:space="preserve">recording the </w:t>
      </w:r>
      <w:r>
        <w:t>Company’s transactions and affairs, assurance by management in relation to the effectiveness of those internal systems and controls, and independent assurance by the Company’s external auditor in relation to its access to and testing of the Company’s internal systems and controls</w:t>
      </w:r>
    </w:p>
    <w:p w14:paraId="176FF22E" w14:textId="77777777" w:rsidR="00303C65" w:rsidRDefault="00303C65" w:rsidP="00001E3F">
      <w:pPr>
        <w:pStyle w:val="Levela"/>
      </w:pPr>
      <w:r>
        <w:t>in relation to information from an external source, assessment of the credibility of the external source and, where appropriate, citing the external source in the Company’s reports</w:t>
      </w:r>
    </w:p>
    <w:p w14:paraId="3CAA8928" w14:textId="77777777" w:rsidR="00303C65" w:rsidRDefault="00303C65" w:rsidP="00001E3F">
      <w:pPr>
        <w:pStyle w:val="Levela"/>
      </w:pPr>
      <w:r>
        <w:t xml:space="preserve">review of reports by people not directly involved in preparation of the </w:t>
      </w:r>
      <w:r w:rsidR="00286982">
        <w:t>report.</w:t>
      </w:r>
    </w:p>
    <w:p w14:paraId="755C9114" w14:textId="77777777" w:rsidR="00E00F72" w:rsidRDefault="00E00F72" w:rsidP="00E00F72">
      <w:pPr>
        <w:pStyle w:val="Level11"/>
      </w:pPr>
      <w:r>
        <w:t>Chairman and CEO</w:t>
      </w:r>
    </w:p>
    <w:p w14:paraId="7B36AC64" w14:textId="77777777" w:rsidR="00E00F72" w:rsidRPr="00E00F72" w:rsidRDefault="00E00F72" w:rsidP="00E00F72">
      <w:pPr>
        <w:pStyle w:val="Level1fo"/>
      </w:pPr>
      <w:r>
        <w:t xml:space="preserve">The Chairman and the CEO (or people delegated by them) are authorised generally to make public statements and otherwise to speak on behalf of the Company.  </w:t>
      </w:r>
    </w:p>
    <w:p w14:paraId="7B80698B" w14:textId="77777777" w:rsidR="00452D9E" w:rsidRDefault="000302F0" w:rsidP="00452D9E">
      <w:pPr>
        <w:pStyle w:val="Level11"/>
      </w:pPr>
      <w:r>
        <w:t>Dealing with the investment community</w:t>
      </w:r>
    </w:p>
    <w:p w14:paraId="085DE506" w14:textId="77777777" w:rsidR="00452D9E" w:rsidRDefault="00452D9E" w:rsidP="000302F0">
      <w:pPr>
        <w:pStyle w:val="Levela"/>
      </w:pPr>
      <w:r>
        <w:t xml:space="preserve">The CFO has principal responsibility for communicating and managing the Company’s relationship with </w:t>
      </w:r>
      <w:r w:rsidR="00E32F51">
        <w:t>the investment community including investment analysts and brokers</w:t>
      </w:r>
      <w:r w:rsidR="00280423">
        <w:t>, proxy and governance advisers</w:t>
      </w:r>
      <w:r w:rsidR="00E32F51">
        <w:t xml:space="preserve"> and investors.</w:t>
      </w:r>
    </w:p>
    <w:p w14:paraId="1527BD79" w14:textId="77777777" w:rsidR="000302F0" w:rsidRDefault="000302F0" w:rsidP="008455ED">
      <w:pPr>
        <w:pStyle w:val="Levela"/>
      </w:pPr>
      <w:r>
        <w:t xml:space="preserve">The </w:t>
      </w:r>
      <w:r w:rsidR="00280423">
        <w:t>Chairman, CEO, CFO and other executives approved by the CEO are authorised to meet with and provide i</w:t>
      </w:r>
      <w:r w:rsidRPr="000302F0">
        <w:t>nformation to</w:t>
      </w:r>
      <w:r w:rsidR="00280423">
        <w:t xml:space="preserve"> the investment community.</w:t>
      </w:r>
      <w:r w:rsidRPr="000302F0">
        <w:t xml:space="preserve"> </w:t>
      </w:r>
      <w:r w:rsidR="00280423">
        <w:t xml:space="preserve"> The Chairman of the Board’s People &amp; Culture Committee may meet with and provide information relating to the remuneration of directors and executives to proxy and governance advisers.</w:t>
      </w:r>
    </w:p>
    <w:p w14:paraId="309C7777" w14:textId="77777777" w:rsidR="00280423" w:rsidRDefault="00280423" w:rsidP="00280423">
      <w:pPr>
        <w:pStyle w:val="Levela"/>
      </w:pPr>
      <w:r>
        <w:t xml:space="preserve">If an </w:t>
      </w:r>
      <w:r w:rsidR="008A39E9">
        <w:t xml:space="preserve">investment </w:t>
      </w:r>
      <w:r>
        <w:t xml:space="preserve">analyst sends a draft report for comment by the </w:t>
      </w:r>
      <w:r w:rsidR="008A39E9">
        <w:t>Company, the report must be given to the CFO who may review it and inform the analyst of any factual inaccuracies, but will not comment on forecasts or provide any price-sensitive information to the analyst and will not endorse the report.</w:t>
      </w:r>
      <w:bookmarkStart w:id="1" w:name="_GoBack"/>
      <w:bookmarkEnd w:id="1"/>
    </w:p>
    <w:p w14:paraId="7D9FE605" w14:textId="77777777" w:rsidR="00280423" w:rsidRDefault="007F47B4" w:rsidP="007F47B4">
      <w:pPr>
        <w:pStyle w:val="Level11"/>
      </w:pPr>
      <w:r>
        <w:lastRenderedPageBreak/>
        <w:t>Dealing with the media, media regulatory agencies and industry bodies</w:t>
      </w:r>
    </w:p>
    <w:p w14:paraId="7A484D31" w14:textId="77777777" w:rsidR="00393741" w:rsidRDefault="00393741" w:rsidP="00393741">
      <w:pPr>
        <w:pStyle w:val="Levela"/>
        <w:keepNext/>
      </w:pPr>
      <w:r>
        <w:t>Except as set out in section </w:t>
      </w:r>
      <w:r>
        <w:fldChar w:fldCharType="begin"/>
      </w:r>
      <w:r>
        <w:instrText xml:space="preserve"> REF _Ref452734979 \w \h </w:instrText>
      </w:r>
      <w:r>
        <w:fldChar w:fldCharType="separate"/>
      </w:r>
      <w:r w:rsidR="003E3EA0">
        <w:t>4.4(b)</w:t>
      </w:r>
      <w:r>
        <w:fldChar w:fldCharType="end"/>
      </w:r>
      <w:r>
        <w:t>:</w:t>
      </w:r>
    </w:p>
    <w:p w14:paraId="42C648E9" w14:textId="1BABE67C" w:rsidR="00280423" w:rsidRDefault="00393741" w:rsidP="00393741">
      <w:pPr>
        <w:pStyle w:val="Leveli"/>
      </w:pPr>
      <w:r>
        <w:t>t</w:t>
      </w:r>
      <w:r w:rsidR="007F47B4">
        <w:t xml:space="preserve">he </w:t>
      </w:r>
      <w:r w:rsidR="00597682">
        <w:t>CEO, with support from the Company Secretary,</w:t>
      </w:r>
      <w:r w:rsidR="007F47B4">
        <w:t xml:space="preserve"> has principal responsibility for communicating and managing the Company’s relationship with media and media regulatory agencies and industry bodies</w:t>
      </w:r>
      <w:r>
        <w:t xml:space="preserve">; and  </w:t>
      </w:r>
    </w:p>
    <w:p w14:paraId="4BE7F314" w14:textId="433761EF" w:rsidR="007F47B4" w:rsidRDefault="00393741" w:rsidP="00393741">
      <w:pPr>
        <w:pStyle w:val="Leveli"/>
      </w:pPr>
      <w:r>
        <w:t>t</w:t>
      </w:r>
      <w:r w:rsidR="007F47B4">
        <w:t>he Chairman</w:t>
      </w:r>
      <w:r w:rsidR="00597682">
        <w:t xml:space="preserve"> and the</w:t>
      </w:r>
      <w:r w:rsidR="007F47B4">
        <w:t xml:space="preserve"> CEO and other executives approved by the CEO are authorised to meet with and provide i</w:t>
      </w:r>
      <w:r w:rsidR="007F47B4" w:rsidRPr="000302F0">
        <w:t>nformation to</w:t>
      </w:r>
      <w:r w:rsidR="007F47B4">
        <w:t xml:space="preserve"> the media, media regulatory agencies and industry bodies.</w:t>
      </w:r>
    </w:p>
    <w:p w14:paraId="1C651757" w14:textId="0B08BA6C" w:rsidR="00393741" w:rsidRDefault="00393741" w:rsidP="007F47B4">
      <w:pPr>
        <w:pStyle w:val="Levela"/>
      </w:pPr>
      <w:bookmarkStart w:id="2" w:name="_Ref452734979"/>
      <w:r>
        <w:t xml:space="preserve">The </w:t>
      </w:r>
      <w:r w:rsidR="00597682">
        <w:t>Heads of the Triple M and Hit Networks</w:t>
      </w:r>
      <w:r w:rsidR="00685E3F">
        <w:t xml:space="preserve"> (or an executive with responsibility for both Networks)</w:t>
      </w:r>
      <w:r w:rsidR="004023BE">
        <w:t xml:space="preserve">, </w:t>
      </w:r>
      <w:r w:rsidR="00685E3F">
        <w:t xml:space="preserve">the Head of </w:t>
      </w:r>
      <w:r w:rsidR="004023BE">
        <w:t>PodcastOne Australia</w:t>
      </w:r>
      <w:r w:rsidR="00597682">
        <w:t xml:space="preserve"> and office General Managers</w:t>
      </w:r>
      <w:r>
        <w:t>, together with the Head of Marketing and Communication</w:t>
      </w:r>
      <w:bookmarkEnd w:id="2"/>
      <w:r>
        <w:t>s, ha</w:t>
      </w:r>
      <w:r w:rsidR="004023BE">
        <w:t>ve</w:t>
      </w:r>
      <w:r>
        <w:t xml:space="preserve"> principal responsibility for communicating and managing the Company’s relationship with trade media organisations, for example in relation to stories about the Company’s on-air talent and programs.</w:t>
      </w:r>
    </w:p>
    <w:p w14:paraId="6D3D2C9C" w14:textId="77777777" w:rsidR="007F47B4" w:rsidRPr="004D6A06" w:rsidRDefault="00B777A0" w:rsidP="00B777A0">
      <w:pPr>
        <w:pStyle w:val="Level11"/>
      </w:pPr>
      <w:r>
        <w:t>Market speculation and rumours</w:t>
      </w:r>
    </w:p>
    <w:p w14:paraId="5EE54BDD" w14:textId="77777777" w:rsidR="00452D9E" w:rsidRDefault="00B777A0" w:rsidP="00B777A0">
      <w:pPr>
        <w:pStyle w:val="Level1fo"/>
        <w:keepNext/>
      </w:pPr>
      <w:r>
        <w:t>In general, the Company does not respond to market speculation or rumours, except where:</w:t>
      </w:r>
    </w:p>
    <w:p w14:paraId="1D9C4C68" w14:textId="77777777" w:rsidR="00B777A0" w:rsidRDefault="00B777A0" w:rsidP="00B777A0">
      <w:pPr>
        <w:pStyle w:val="Levela"/>
      </w:pPr>
      <w:r>
        <w:t>market speculation or a rumour indicates that the underlying information is no longer confidential so that the exception to disclosure in the ASX Listing Rules no longer applies;</w:t>
      </w:r>
    </w:p>
    <w:p w14:paraId="102BF392" w14:textId="77777777" w:rsidR="00B777A0" w:rsidRDefault="00B777A0" w:rsidP="00B777A0">
      <w:pPr>
        <w:pStyle w:val="Levela"/>
      </w:pPr>
      <w:r>
        <w:t>the ASX requests disclosure by the Company under ASX Listing Rule 3.1B; or</w:t>
      </w:r>
    </w:p>
    <w:p w14:paraId="012BEDF4" w14:textId="77777777" w:rsidR="00B777A0" w:rsidRDefault="00B777A0" w:rsidP="00B777A0">
      <w:pPr>
        <w:pStyle w:val="Levela"/>
      </w:pPr>
      <w:r>
        <w:t>the Board considers it appropriate for a response to be made.</w:t>
      </w:r>
    </w:p>
    <w:p w14:paraId="0D5448D0" w14:textId="77777777" w:rsidR="00452D9E" w:rsidRDefault="000F168C" w:rsidP="000F168C">
      <w:pPr>
        <w:pStyle w:val="Level1"/>
      </w:pPr>
      <w:r>
        <w:t>COMMUNICATIONS WITH SHAREHOLDERS</w:t>
      </w:r>
    </w:p>
    <w:p w14:paraId="757A1C9E" w14:textId="77777777" w:rsidR="000F168C" w:rsidRDefault="001C2F23" w:rsidP="005C606F">
      <w:pPr>
        <w:pStyle w:val="Level11"/>
      </w:pPr>
      <w:r>
        <w:t>Commitment</w:t>
      </w:r>
    </w:p>
    <w:p w14:paraId="68A8C28F" w14:textId="77777777" w:rsidR="000F168C" w:rsidRPr="00E41C9A" w:rsidRDefault="000F168C" w:rsidP="00E41C9A">
      <w:pPr>
        <w:pStyle w:val="Level1fo"/>
      </w:pPr>
      <w:r w:rsidRPr="00E41C9A">
        <w:t xml:space="preserve">The Company is committed to ensuring that its shareholders are well-informed </w:t>
      </w:r>
      <w:r w:rsidR="001C2F23" w:rsidRPr="00E41C9A">
        <w:t xml:space="preserve">about </w:t>
      </w:r>
      <w:r w:rsidRPr="00E41C9A">
        <w:t>major developments affecting the Company</w:t>
      </w:r>
      <w:r w:rsidR="001C2F23" w:rsidRPr="00E41C9A">
        <w:t xml:space="preserve"> as well as administrative matters concerning their shareholding</w:t>
      </w:r>
      <w:r w:rsidRPr="00E41C9A">
        <w:t xml:space="preserve">. </w:t>
      </w:r>
    </w:p>
    <w:p w14:paraId="2D3CD26C" w14:textId="77777777" w:rsidR="001C2F23" w:rsidRDefault="001C2F23" w:rsidP="001C2F23">
      <w:pPr>
        <w:pStyle w:val="Level11"/>
      </w:pPr>
      <w:r>
        <w:t>Website</w:t>
      </w:r>
    </w:p>
    <w:p w14:paraId="11615759" w14:textId="77777777" w:rsidR="001C2F23" w:rsidRDefault="001C2F23" w:rsidP="00E41C9A">
      <w:pPr>
        <w:pStyle w:val="Level1fo"/>
        <w:keepNext/>
      </w:pPr>
      <w:r>
        <w:t>The Company’s website (</w:t>
      </w:r>
      <w:hyperlink r:id="rId8" w:history="1">
        <w:r w:rsidRPr="005E765A">
          <w:rPr>
            <w:rStyle w:val="Hyperlink"/>
          </w:rPr>
          <w:t>www.sca.com.au</w:t>
        </w:r>
      </w:hyperlink>
      <w:r w:rsidRPr="001C2F23">
        <w:t>) provides extensive information</w:t>
      </w:r>
      <w:r>
        <w:t xml:space="preserve"> about the Company’s </w:t>
      </w:r>
      <w:r w:rsidR="00E41C9A">
        <w:t>governance, activities, performance and financial position.  Information available on the Company’s website includes:</w:t>
      </w:r>
    </w:p>
    <w:p w14:paraId="5E60AA33" w14:textId="77777777" w:rsidR="00E41C9A" w:rsidRDefault="00E41C9A" w:rsidP="00E41C9A">
      <w:pPr>
        <w:pStyle w:val="Level1fo"/>
        <w:numPr>
          <w:ilvl w:val="0"/>
          <w:numId w:val="25"/>
        </w:numPr>
        <w:ind w:hanging="720"/>
      </w:pPr>
      <w:r>
        <w:t>the Company’s constitution, Board and Committee charters and other governance policies of the Board</w:t>
      </w:r>
    </w:p>
    <w:p w14:paraId="3D6E618F" w14:textId="77777777" w:rsidR="00E41C9A" w:rsidRDefault="00E41C9A" w:rsidP="00E41C9A">
      <w:pPr>
        <w:pStyle w:val="Level1fo"/>
        <w:numPr>
          <w:ilvl w:val="0"/>
          <w:numId w:val="25"/>
        </w:numPr>
        <w:ind w:hanging="720"/>
      </w:pPr>
      <w:r>
        <w:t>ASX announcements and media releases concerning the Company</w:t>
      </w:r>
    </w:p>
    <w:p w14:paraId="4EA18E87" w14:textId="77777777" w:rsidR="00E41C9A" w:rsidRDefault="00E41C9A" w:rsidP="00E41C9A">
      <w:pPr>
        <w:pStyle w:val="Level1fo"/>
        <w:numPr>
          <w:ilvl w:val="0"/>
          <w:numId w:val="25"/>
        </w:numPr>
        <w:ind w:hanging="720"/>
      </w:pPr>
      <w:r>
        <w:t>the Company’s half-year and annual financial reports</w:t>
      </w:r>
    </w:p>
    <w:p w14:paraId="26E5BA3F" w14:textId="77777777" w:rsidR="00E41C9A" w:rsidRDefault="00E41C9A" w:rsidP="00E41C9A">
      <w:pPr>
        <w:pStyle w:val="Level1fo"/>
        <w:numPr>
          <w:ilvl w:val="0"/>
          <w:numId w:val="25"/>
        </w:numPr>
        <w:ind w:hanging="720"/>
      </w:pPr>
      <w:r>
        <w:t>the Company’s annual reports</w:t>
      </w:r>
    </w:p>
    <w:p w14:paraId="5626B743" w14:textId="77777777" w:rsidR="00E41C9A" w:rsidRDefault="00E41C9A" w:rsidP="00E41C9A">
      <w:pPr>
        <w:pStyle w:val="Level1fo"/>
        <w:numPr>
          <w:ilvl w:val="0"/>
          <w:numId w:val="25"/>
        </w:numPr>
        <w:ind w:hanging="720"/>
      </w:pPr>
      <w:r>
        <w:lastRenderedPageBreak/>
        <w:t>notices of meetings of the Company’s shareholders</w:t>
      </w:r>
    </w:p>
    <w:p w14:paraId="26515DE8" w14:textId="77777777" w:rsidR="00E41C9A" w:rsidRDefault="00E41C9A" w:rsidP="00E41C9A">
      <w:pPr>
        <w:pStyle w:val="Level1fo"/>
        <w:numPr>
          <w:ilvl w:val="0"/>
          <w:numId w:val="25"/>
        </w:numPr>
        <w:ind w:hanging="720"/>
      </w:pPr>
      <w:r>
        <w:t>information about the Company’s directors and senior executives</w:t>
      </w:r>
    </w:p>
    <w:p w14:paraId="1A8C5B95" w14:textId="77777777" w:rsidR="00E41C9A" w:rsidRPr="001C2F23" w:rsidRDefault="00E41C9A" w:rsidP="00E41C9A">
      <w:pPr>
        <w:pStyle w:val="Level1fo"/>
        <w:numPr>
          <w:ilvl w:val="0"/>
          <w:numId w:val="25"/>
        </w:numPr>
        <w:ind w:hanging="720"/>
      </w:pPr>
      <w:r>
        <w:t>information about the Company’s business activities and operations.</w:t>
      </w:r>
    </w:p>
    <w:p w14:paraId="15A235DA" w14:textId="77777777" w:rsidR="000F168C" w:rsidRDefault="001C2F23" w:rsidP="001C2F23">
      <w:pPr>
        <w:pStyle w:val="Level11"/>
      </w:pPr>
      <w:r>
        <w:t>Annual report</w:t>
      </w:r>
    </w:p>
    <w:p w14:paraId="0AF8B40E" w14:textId="77777777" w:rsidR="000F168C" w:rsidRDefault="001C2F23" w:rsidP="000F168C">
      <w:pPr>
        <w:pStyle w:val="Level1fo"/>
      </w:pPr>
      <w:r>
        <w:t xml:space="preserve">The Company aims to ensure that its annual report provides shareholders with a good understanding of the Company’s </w:t>
      </w:r>
      <w:r w:rsidR="00E41C9A">
        <w:t xml:space="preserve">governance, </w:t>
      </w:r>
      <w:r>
        <w:t>activities, performance and financial position.</w:t>
      </w:r>
    </w:p>
    <w:p w14:paraId="022037FC" w14:textId="77777777" w:rsidR="001C2F23" w:rsidRDefault="001C2F23" w:rsidP="001C2F23">
      <w:pPr>
        <w:pStyle w:val="Level11"/>
      </w:pPr>
      <w:r>
        <w:t>Annual general meeting</w:t>
      </w:r>
    </w:p>
    <w:p w14:paraId="2910692F" w14:textId="77777777" w:rsidR="001C2F23" w:rsidRDefault="001C2F23" w:rsidP="00E41C9A">
      <w:pPr>
        <w:pStyle w:val="Level1fo"/>
      </w:pPr>
      <w:r w:rsidRPr="001C2F23">
        <w:t xml:space="preserve">The Company encourages shareholders </w:t>
      </w:r>
      <w:r>
        <w:t xml:space="preserve">to attend and participate </w:t>
      </w:r>
      <w:r w:rsidRPr="001C2F23">
        <w:t xml:space="preserve">at the </w:t>
      </w:r>
      <w:r>
        <w:t xml:space="preserve">Company’s AGM.  Shareholders are provided with an </w:t>
      </w:r>
      <w:r w:rsidRPr="00E41C9A">
        <w:t>opportunity</w:t>
      </w:r>
      <w:r>
        <w:t xml:space="preserve"> to express their views to directors and management and to vote on resolutions presented at the meeting.  </w:t>
      </w:r>
      <w:r w:rsidRPr="001C2F23">
        <w:t>The Company invite</w:t>
      </w:r>
      <w:r>
        <w:t>s</w:t>
      </w:r>
      <w:r w:rsidRPr="001C2F23">
        <w:t xml:space="preserve"> the external auditor to attend the A</w:t>
      </w:r>
      <w:r>
        <w:t>GM</w:t>
      </w:r>
      <w:r w:rsidRPr="001C2F23">
        <w:t xml:space="preserve"> to answer shareholder</w:t>
      </w:r>
      <w:r>
        <w:t>s’</w:t>
      </w:r>
      <w:r w:rsidRPr="001C2F23">
        <w:t xml:space="preserve"> questions about the conduct of the audit and the preparation and content of the auditor’s report</w:t>
      </w:r>
      <w:r>
        <w:t>.</w:t>
      </w:r>
    </w:p>
    <w:p w14:paraId="759FF11D" w14:textId="77777777" w:rsidR="00E41C9A" w:rsidRDefault="00E41C9A" w:rsidP="00E41C9A">
      <w:pPr>
        <w:pStyle w:val="Level11"/>
      </w:pPr>
      <w:r>
        <w:t>Other communications</w:t>
      </w:r>
    </w:p>
    <w:p w14:paraId="13F1C97E" w14:textId="77777777" w:rsidR="00E41C9A" w:rsidRDefault="00E41C9A" w:rsidP="00E41C9A">
      <w:pPr>
        <w:pStyle w:val="Level1fo"/>
        <w:rPr>
          <w:sz w:val="23"/>
          <w:szCs w:val="23"/>
        </w:rPr>
      </w:pPr>
      <w:r>
        <w:rPr>
          <w:sz w:val="23"/>
          <w:szCs w:val="23"/>
        </w:rPr>
        <w:t>Information may also be communicated to shareholders via periodic mail outs.  Shareholders are encouraged to receive this information by electronic communication</w:t>
      </w:r>
      <w:r w:rsidR="00C17BA4">
        <w:rPr>
          <w:sz w:val="23"/>
          <w:szCs w:val="23"/>
        </w:rPr>
        <w:t xml:space="preserve"> and the Company’s website enables shareholders to communicate with the Company by electronic communication</w:t>
      </w:r>
      <w:r>
        <w:rPr>
          <w:sz w:val="23"/>
          <w:szCs w:val="23"/>
        </w:rPr>
        <w:t>.</w:t>
      </w:r>
    </w:p>
    <w:p w14:paraId="3DCBA63D" w14:textId="77777777" w:rsidR="00E41C9A" w:rsidRDefault="00E41C9A" w:rsidP="00E41C9A">
      <w:pPr>
        <w:pStyle w:val="Level11"/>
        <w:rPr>
          <w:sz w:val="23"/>
          <w:szCs w:val="23"/>
        </w:rPr>
      </w:pPr>
      <w:r>
        <w:rPr>
          <w:sz w:val="23"/>
          <w:szCs w:val="23"/>
        </w:rPr>
        <w:t>Share registry</w:t>
      </w:r>
    </w:p>
    <w:p w14:paraId="48B5463B" w14:textId="77777777" w:rsidR="00921F75" w:rsidRPr="00921F75" w:rsidRDefault="00921F75" w:rsidP="00921F75">
      <w:pPr>
        <w:pStyle w:val="Level1fo"/>
      </w:pPr>
      <w:r w:rsidRPr="00921F75">
        <w:t xml:space="preserve">The Company’s share registrar, Computershare Investor Services, provides shareholders with a secure online facility to assist them to manage their investment in the Company. </w:t>
      </w:r>
      <w:r>
        <w:t xml:space="preserve"> </w:t>
      </w:r>
      <w:r w:rsidRPr="00921F75">
        <w:t xml:space="preserve">The </w:t>
      </w:r>
      <w:hyperlink r:id="rId9" w:history="1">
        <w:r w:rsidRPr="00921F75">
          <w:t>Investor Centre</w:t>
        </w:r>
      </w:hyperlink>
      <w:r w:rsidRPr="00921F75">
        <w:t xml:space="preserve"> enables </w:t>
      </w:r>
      <w:r>
        <w:t>shareholders</w:t>
      </w:r>
      <w:r w:rsidRPr="00921F75">
        <w:t xml:space="preserve"> to view </w:t>
      </w:r>
      <w:r>
        <w:t>their</w:t>
      </w:r>
      <w:r w:rsidRPr="00921F75">
        <w:t xml:space="preserve"> shareholding information and dividend payments and update </w:t>
      </w:r>
      <w:r>
        <w:t>their</w:t>
      </w:r>
      <w:r w:rsidRPr="00921F75">
        <w:t xml:space="preserve"> contact details.</w:t>
      </w:r>
      <w:r>
        <w:t xml:space="preserve">  Contact details for Computershare Investor Services are available on the Company’s website.</w:t>
      </w:r>
    </w:p>
    <w:p w14:paraId="6D5417A1" w14:textId="77777777" w:rsidR="00D41F6A" w:rsidRDefault="00B93D33" w:rsidP="00314B7D">
      <w:pPr>
        <w:pStyle w:val="Level1"/>
      </w:pPr>
      <w:r>
        <w:t xml:space="preserve">REVIEW OF </w:t>
      </w:r>
      <w:r w:rsidR="002277C8">
        <w:t xml:space="preserve">POLICY </w:t>
      </w:r>
    </w:p>
    <w:p w14:paraId="4E1B5F4B" w14:textId="77777777" w:rsidR="00E66D6E" w:rsidRPr="00065ACB" w:rsidRDefault="00D41F6A" w:rsidP="008B4DC6">
      <w:pPr>
        <w:pStyle w:val="Headingfo"/>
        <w:rPr>
          <w:rFonts w:asciiTheme="minorHAnsi" w:hAnsiTheme="minorHAnsi"/>
          <w:sz w:val="20"/>
          <w:szCs w:val="20"/>
        </w:rPr>
      </w:pPr>
      <w:r>
        <w:t>Th</w:t>
      </w:r>
      <w:r w:rsidR="00022113">
        <w:t>is policy</w:t>
      </w:r>
      <w:r>
        <w:t xml:space="preserve"> will be </w:t>
      </w:r>
      <w:r w:rsidR="002277C8" w:rsidRPr="002277C8">
        <w:t xml:space="preserve">reviewed </w:t>
      </w:r>
      <w:r w:rsidR="00231463">
        <w:t xml:space="preserve">every </w:t>
      </w:r>
      <w:r w:rsidR="002277C8">
        <w:t>two years after its adoption by the Board having regard to</w:t>
      </w:r>
      <w:r w:rsidR="002277C8" w:rsidRPr="002277C8">
        <w:t xml:space="preserve"> regulatory, community and investor requirements.</w:t>
      </w:r>
    </w:p>
    <w:sectPr w:rsidR="00E66D6E" w:rsidRPr="00065ACB" w:rsidSect="0002329D">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5CD4" w14:textId="77777777" w:rsidR="00801763" w:rsidRDefault="00801763" w:rsidP="00801763">
      <w:r>
        <w:separator/>
      </w:r>
    </w:p>
  </w:endnote>
  <w:endnote w:type="continuationSeparator" w:id="0">
    <w:p w14:paraId="7202509C" w14:textId="77777777" w:rsidR="00801763" w:rsidRDefault="00801763" w:rsidP="0080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481729"/>
      <w:docPartObj>
        <w:docPartGallery w:val="Page Numbers (Bottom of Page)"/>
        <w:docPartUnique/>
      </w:docPartObj>
    </w:sdtPr>
    <w:sdtEndPr/>
    <w:sdtContent>
      <w:sdt>
        <w:sdtPr>
          <w:rPr>
            <w:sz w:val="20"/>
            <w:szCs w:val="20"/>
          </w:rPr>
          <w:id w:val="1649930939"/>
          <w:docPartObj>
            <w:docPartGallery w:val="Page Numbers (Bottom of Page)"/>
            <w:docPartUnique/>
          </w:docPartObj>
        </w:sdtPr>
        <w:sdtEndPr/>
        <w:sdtContent>
          <w:p w14:paraId="634A3FDF" w14:textId="26CED01B" w:rsidR="00801763" w:rsidRPr="006B1C93" w:rsidRDefault="00BF1E57" w:rsidP="006B1C93">
            <w:pPr>
              <w:pStyle w:val="Footer"/>
              <w:tabs>
                <w:tab w:val="clear" w:pos="4513"/>
              </w:tabs>
              <w:jc w:val="right"/>
              <w:rPr>
                <w:sz w:val="20"/>
                <w:szCs w:val="20"/>
              </w:rPr>
            </w:pPr>
            <w:r w:rsidRPr="00A4098F">
              <w:rPr>
                <w:sz w:val="20"/>
                <w:szCs w:val="20"/>
              </w:rPr>
              <w:t xml:space="preserve">Approved by </w:t>
            </w:r>
            <w:r w:rsidRPr="00FD5B9E">
              <w:rPr>
                <w:sz w:val="20"/>
                <w:szCs w:val="20"/>
              </w:rPr>
              <w:t>Board</w:t>
            </w:r>
            <w:r w:rsidRPr="00FD5B9E">
              <w:rPr>
                <w:sz w:val="20"/>
                <w:szCs w:val="20"/>
              </w:rPr>
              <w:ptab w:relativeTo="margin" w:alignment="center" w:leader="none"/>
            </w:r>
            <w:r w:rsidR="00FD5B9E">
              <w:rPr>
                <w:sz w:val="20"/>
                <w:szCs w:val="20"/>
              </w:rPr>
              <w:t>20</w:t>
            </w:r>
            <w:r w:rsidR="00597682" w:rsidRPr="00FD5B9E">
              <w:rPr>
                <w:sz w:val="20"/>
                <w:szCs w:val="20"/>
              </w:rPr>
              <w:t> February 2019</w:t>
            </w:r>
            <w:r w:rsidRPr="00A4098F">
              <w:rPr>
                <w:sz w:val="20"/>
                <w:szCs w:val="20"/>
              </w:rPr>
              <w:ptab w:relativeTo="margin" w:alignment="right" w:leader="none"/>
            </w:r>
            <w:r w:rsidRPr="00A4098F">
              <w:rPr>
                <w:sz w:val="20"/>
                <w:szCs w:val="20"/>
              </w:rPr>
              <w:fldChar w:fldCharType="begin"/>
            </w:r>
            <w:r w:rsidRPr="00A4098F">
              <w:rPr>
                <w:sz w:val="20"/>
                <w:szCs w:val="20"/>
              </w:rPr>
              <w:instrText xml:space="preserve"> PAGE  \* Arabic  \* MERGEFORMAT </w:instrText>
            </w:r>
            <w:r w:rsidRPr="00A4098F">
              <w:rPr>
                <w:sz w:val="20"/>
                <w:szCs w:val="20"/>
              </w:rPr>
              <w:fldChar w:fldCharType="separate"/>
            </w:r>
            <w:r w:rsidR="003E3EA0">
              <w:rPr>
                <w:noProof/>
                <w:sz w:val="20"/>
                <w:szCs w:val="20"/>
              </w:rPr>
              <w:t>6</w:t>
            </w:r>
            <w:r w:rsidRPr="00A4098F">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060688"/>
      <w:docPartObj>
        <w:docPartGallery w:val="Page Numbers (Bottom of Page)"/>
        <w:docPartUnique/>
      </w:docPartObj>
    </w:sdtPr>
    <w:sdtEndPr/>
    <w:sdtContent>
      <w:p w14:paraId="205C5396" w14:textId="77777777" w:rsidR="00BF1E57" w:rsidRPr="00A4098F" w:rsidRDefault="00BF1E57" w:rsidP="00BF1E57">
        <w:pPr>
          <w:pStyle w:val="Footer"/>
          <w:tabs>
            <w:tab w:val="clear" w:pos="4513"/>
          </w:tabs>
          <w:jc w:val="right"/>
          <w:rPr>
            <w:sz w:val="20"/>
            <w:szCs w:val="20"/>
          </w:rPr>
        </w:pPr>
        <w:r w:rsidRPr="00A4098F">
          <w:rPr>
            <w:sz w:val="20"/>
            <w:szCs w:val="20"/>
          </w:rPr>
          <w:t>Approved by Board</w:t>
        </w:r>
        <w:r w:rsidRPr="00A4098F">
          <w:rPr>
            <w:sz w:val="20"/>
            <w:szCs w:val="20"/>
          </w:rPr>
          <w:ptab w:relativeTo="margin" w:alignment="center" w:leader="none"/>
        </w:r>
        <w:r w:rsidR="008677D6">
          <w:rPr>
            <w:sz w:val="20"/>
            <w:szCs w:val="20"/>
          </w:rPr>
          <w:t>21 June</w:t>
        </w:r>
        <w:r w:rsidR="00B93D33">
          <w:rPr>
            <w:sz w:val="20"/>
            <w:szCs w:val="20"/>
          </w:rPr>
          <w:t xml:space="preserve"> 2016</w:t>
        </w:r>
        <w:r w:rsidRPr="00A4098F">
          <w:rPr>
            <w:sz w:val="20"/>
            <w:szCs w:val="20"/>
          </w:rPr>
          <w:ptab w:relativeTo="margin" w:alignment="right" w:leader="none"/>
        </w:r>
        <w:r w:rsidRPr="00A4098F">
          <w:rPr>
            <w:sz w:val="20"/>
            <w:szCs w:val="20"/>
          </w:rPr>
          <w:fldChar w:fldCharType="begin"/>
        </w:r>
        <w:r w:rsidRPr="00A4098F">
          <w:rPr>
            <w:sz w:val="20"/>
            <w:szCs w:val="20"/>
          </w:rPr>
          <w:instrText xml:space="preserve"> PAGE  \* Arabic  \* MERGEFORMAT </w:instrText>
        </w:r>
        <w:r w:rsidRPr="00A4098F">
          <w:rPr>
            <w:sz w:val="20"/>
            <w:szCs w:val="20"/>
          </w:rPr>
          <w:fldChar w:fldCharType="separate"/>
        </w:r>
        <w:r w:rsidR="003E3EA0">
          <w:rPr>
            <w:noProof/>
            <w:sz w:val="20"/>
            <w:szCs w:val="20"/>
          </w:rPr>
          <w:t>1</w:t>
        </w:r>
        <w:r w:rsidRPr="00A4098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F4633" w14:textId="77777777" w:rsidR="00801763" w:rsidRDefault="00801763" w:rsidP="00801763">
      <w:r>
        <w:separator/>
      </w:r>
    </w:p>
  </w:footnote>
  <w:footnote w:type="continuationSeparator" w:id="0">
    <w:p w14:paraId="51F44045" w14:textId="77777777" w:rsidR="00801763" w:rsidRDefault="00801763" w:rsidP="0080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F81C" w14:textId="77777777" w:rsidR="00D70570" w:rsidRPr="0002329D" w:rsidRDefault="007F47B4" w:rsidP="0002329D">
    <w:pPr>
      <w:pStyle w:val="Header"/>
      <w:spacing w:before="120" w:after="120"/>
      <w:jc w:val="right"/>
      <w:rPr>
        <w:sz w:val="20"/>
        <w:szCs w:val="20"/>
      </w:rPr>
    </w:pPr>
    <w:r>
      <w:rPr>
        <w:sz w:val="20"/>
        <w:szCs w:val="20"/>
      </w:rPr>
      <w:t>External communications</w:t>
    </w:r>
    <w:r w:rsidR="00E66D6E">
      <w:rPr>
        <w:sz w:val="20"/>
        <w:szCs w:val="20"/>
      </w:rPr>
      <w:t xml:space="preserve"> policy</w:t>
    </w:r>
    <w:r w:rsidR="0002329D">
      <w:rPr>
        <w:sz w:val="20"/>
        <w:szCs w:val="20"/>
      </w:rPr>
      <w:br/>
    </w:r>
    <w:r w:rsidR="0002329D" w:rsidRPr="0002329D">
      <w:rPr>
        <w:sz w:val="20"/>
        <w:szCs w:val="20"/>
      </w:rPr>
      <w:t xml:space="preserve">Southern </w:t>
    </w:r>
    <w:r w:rsidR="00B24C4D">
      <w:rPr>
        <w:sz w:val="20"/>
        <w:szCs w:val="20"/>
      </w:rPr>
      <w:t>Cross Media Group Limited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17"/>
    </w:tblGrid>
    <w:tr w:rsidR="0002329D" w14:paraId="37A37022" w14:textId="77777777" w:rsidTr="0002329D">
      <w:tc>
        <w:tcPr>
          <w:tcW w:w="7655" w:type="dxa"/>
          <w:vAlign w:val="center"/>
        </w:tcPr>
        <w:p w14:paraId="250CEC61" w14:textId="77777777" w:rsidR="0002329D" w:rsidRDefault="0028385E" w:rsidP="00ED15DB">
          <w:pPr>
            <w:pStyle w:val="Header"/>
          </w:pPr>
          <w:r>
            <w:rPr>
              <w:rFonts w:ascii="Helvetica-Bold" w:hAnsi="Helvetica-Bold" w:cs="Helvetica-Bold"/>
              <w:b/>
              <w:bCs/>
              <w:sz w:val="24"/>
              <w:szCs w:val="24"/>
            </w:rPr>
            <w:t>EXTERNAL COMMUNICATIONS</w:t>
          </w:r>
          <w:r w:rsidR="00ED15DB">
            <w:rPr>
              <w:rFonts w:ascii="Helvetica-Bold" w:hAnsi="Helvetica-Bold" w:cs="Helvetica-Bold"/>
              <w:b/>
              <w:bCs/>
              <w:sz w:val="24"/>
              <w:szCs w:val="24"/>
            </w:rPr>
            <w:t xml:space="preserve"> POLICY</w:t>
          </w:r>
        </w:p>
      </w:tc>
      <w:tc>
        <w:tcPr>
          <w:tcW w:w="1417" w:type="dxa"/>
        </w:tcPr>
        <w:p w14:paraId="7BD50EBD" w14:textId="77777777" w:rsidR="0002329D" w:rsidRDefault="0002329D" w:rsidP="0002329D">
          <w:pPr>
            <w:pStyle w:val="Header"/>
          </w:pPr>
        </w:p>
      </w:tc>
    </w:tr>
  </w:tbl>
  <w:p w14:paraId="14118B6A" w14:textId="77777777" w:rsidR="0002329D" w:rsidRDefault="009A21E8">
    <w:pPr>
      <w:pStyle w:val="Header"/>
    </w:pPr>
    <w:r w:rsidRPr="00726155">
      <w:rPr>
        <w:b/>
        <w:noProof/>
        <w:sz w:val="32"/>
        <w:szCs w:val="32"/>
        <w:lang w:eastAsia="en-AU"/>
      </w:rPr>
      <w:drawing>
        <wp:anchor distT="0" distB="0" distL="114300" distR="114300" simplePos="0" relativeHeight="251659264" behindDoc="1" locked="0" layoutInCell="1" allowOverlap="0" wp14:anchorId="1BD18BFB" wp14:editId="50F3EB15">
          <wp:simplePos x="0" y="0"/>
          <wp:positionH relativeFrom="column">
            <wp:posOffset>3849321</wp:posOffset>
          </wp:positionH>
          <wp:positionV relativeFrom="paragraph">
            <wp:posOffset>-394189</wp:posOffset>
          </wp:positionV>
          <wp:extent cx="2197735" cy="629285"/>
          <wp:effectExtent l="0" t="0" r="0" b="0"/>
          <wp:wrapNone/>
          <wp:docPr id="1" name="Picture 1" descr="SCA_engaging_logo_horiz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engaging_logo_horiz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62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5AA"/>
    <w:multiLevelType w:val="hybridMultilevel"/>
    <w:tmpl w:val="86E8FDF0"/>
    <w:lvl w:ilvl="0" w:tplc="E690D63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F6A40E0"/>
    <w:multiLevelType w:val="hybridMultilevel"/>
    <w:tmpl w:val="28860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6DF0EB7"/>
    <w:multiLevelType w:val="multilevel"/>
    <w:tmpl w:val="89D8B7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92012CE"/>
    <w:multiLevelType w:val="hybridMultilevel"/>
    <w:tmpl w:val="8DA2F7C8"/>
    <w:lvl w:ilvl="0" w:tplc="04F6B74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4BE4F67"/>
    <w:multiLevelType w:val="multilevel"/>
    <w:tmpl w:val="9BF816D8"/>
    <w:lvl w:ilvl="0">
      <w:start w:val="1"/>
      <w:numFmt w:val="decimal"/>
      <w:pStyle w:val="Level1"/>
      <w:isLgl/>
      <w:lvlText w:val="%1."/>
      <w:lvlJc w:val="left"/>
      <w:pPr>
        <w:ind w:left="720" w:hanging="720"/>
      </w:pPr>
      <w:rPr>
        <w:rFonts w:ascii="Calibri" w:hAnsi="Calibri" w:hint="default"/>
        <w:b/>
        <w:i w:val="0"/>
        <w:color w:val="auto"/>
        <w:sz w:val="22"/>
      </w:rPr>
    </w:lvl>
    <w:lvl w:ilvl="1">
      <w:start w:val="1"/>
      <w:numFmt w:val="decimal"/>
      <w:pStyle w:val="Level11"/>
      <w:lvlText w:val="%1.%2"/>
      <w:lvlJc w:val="left"/>
      <w:pPr>
        <w:ind w:left="720" w:hanging="720"/>
      </w:pPr>
      <w:rPr>
        <w:rFonts w:hint="default"/>
      </w:rPr>
    </w:lvl>
    <w:lvl w:ilvl="2">
      <w:start w:val="1"/>
      <w:numFmt w:val="lowerLetter"/>
      <w:pStyle w:val="Levela"/>
      <w:lvlText w:val="(%3)"/>
      <w:lvlJc w:val="left"/>
      <w:pPr>
        <w:ind w:left="1440" w:hanging="720"/>
      </w:pPr>
      <w:rPr>
        <w:rFonts w:hint="default"/>
      </w:rPr>
    </w:lvl>
    <w:lvl w:ilvl="3">
      <w:start w:val="1"/>
      <w:numFmt w:val="lowerRoman"/>
      <w:pStyle w:val="Leveli"/>
      <w:lvlText w:val="(%4)"/>
      <w:lvlJc w:val="left"/>
      <w:pPr>
        <w:ind w:left="2160" w:hanging="720"/>
      </w:pPr>
      <w:rPr>
        <w:rFonts w:hint="default"/>
      </w:rPr>
    </w:lvl>
    <w:lvl w:ilvl="4">
      <w:start w:val="1"/>
      <w:numFmt w:val="upperLetter"/>
      <w:pStyle w:val="LevelA0"/>
      <w:lvlText w:val="(%5)"/>
      <w:lvlJc w:val="left"/>
      <w:pPr>
        <w:tabs>
          <w:tab w:val="num" w:pos="2160"/>
        </w:tabs>
        <w:ind w:left="2880" w:hanging="720"/>
      </w:pPr>
      <w:rPr>
        <w:rFonts w:hint="default"/>
      </w:rPr>
    </w:lvl>
    <w:lvl w:ilvl="5">
      <w:start w:val="1"/>
      <w:numFmt w:val="upperRoman"/>
      <w:pStyle w:val="LevelI0"/>
      <w:lvlText w:val="(%6)"/>
      <w:lvlJc w:val="left"/>
      <w:pPr>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9A5C1E"/>
    <w:multiLevelType w:val="multilevel"/>
    <w:tmpl w:val="25326374"/>
    <w:lvl w:ilvl="0">
      <w:start w:val="1"/>
      <w:numFmt w:val="decimal"/>
      <w:pStyle w:val="Heading1"/>
      <w:lvlText w:val="%1."/>
      <w:lvlJc w:val="left"/>
      <w:pPr>
        <w:ind w:left="720" w:hanging="720"/>
      </w:pPr>
      <w:rPr>
        <w:rFonts w:ascii="Calibri" w:hAnsi="Calibri" w:hint="default"/>
        <w:b/>
        <w:i w:val="0"/>
        <w:strike w:val="0"/>
        <w:dstrike w:val="0"/>
        <w:vanish w:val="0"/>
        <w:color w:val="auto"/>
        <w:sz w:val="22"/>
        <w:u w:val="none"/>
        <w:vertAlign w:val="baseline"/>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ind w:left="1440" w:hanging="720"/>
      </w:pPr>
      <w:rPr>
        <w:rFonts w:hint="default"/>
      </w:rPr>
    </w:lvl>
    <w:lvl w:ilvl="3">
      <w:start w:val="1"/>
      <w:numFmt w:val="lowerRoman"/>
      <w:pStyle w:val="Heading4"/>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86D2DD6"/>
    <w:multiLevelType w:val="multilevel"/>
    <w:tmpl w:val="4C7242D8"/>
    <w:lvl w:ilvl="0">
      <w:start w:val="1"/>
      <w:numFmt w:val="decimal"/>
      <w:lvlText w:val="%1."/>
      <w:lvlJc w:val="left"/>
      <w:pPr>
        <w:ind w:left="720" w:hanging="720"/>
      </w:pPr>
      <w:rPr>
        <w:rFonts w:ascii="Calibri" w:hAnsi="Calibri" w:hint="default"/>
        <w:b/>
        <w:i w:val="0"/>
        <w:sz w:val="22"/>
      </w:rPr>
    </w:lvl>
    <w:lvl w:ilvl="1">
      <w:start w:val="1"/>
      <w:numFmt w:val="decimal"/>
      <w:lvlText w:val="%1.%2"/>
      <w:lvlJc w:val="left"/>
      <w:pPr>
        <w:ind w:left="1440" w:hanging="720"/>
      </w:pPr>
      <w:rPr>
        <w:rFonts w:ascii="Calibri" w:hAnsi="Calibri" w:hint="default"/>
        <w:b w:val="0"/>
        <w:i w:val="0"/>
        <w:sz w:val="22"/>
      </w:rPr>
    </w:lvl>
    <w:lvl w:ilvl="2">
      <w:start w:val="1"/>
      <w:numFmt w:val="lowerLetter"/>
      <w:lvlText w:val="(%3)"/>
      <w:lvlJc w:val="left"/>
      <w:pPr>
        <w:ind w:left="2160" w:hanging="720"/>
      </w:pPr>
      <w:rPr>
        <w:rFonts w:ascii="Calibri" w:hAnsi="Calibri" w:hint="default"/>
        <w:b w:val="0"/>
        <w:i w:val="0"/>
        <w:sz w:val="22"/>
      </w:rPr>
    </w:lvl>
    <w:lvl w:ilvl="3">
      <w:start w:val="1"/>
      <w:numFmt w:val="lowerRoman"/>
      <w:lvlText w:val="(%4)"/>
      <w:lvlJc w:val="left"/>
      <w:pPr>
        <w:ind w:left="2880" w:hanging="720"/>
      </w:pPr>
      <w:rPr>
        <w:rFonts w:ascii="Calibri" w:hAnsi="Calibri" w:hint="default"/>
        <w:b w:val="0"/>
        <w:i w:val="0"/>
        <w:sz w:val="22"/>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7" w15:restartNumberingAfterBreak="0">
    <w:nsid w:val="7E653EF2"/>
    <w:multiLevelType w:val="hybridMultilevel"/>
    <w:tmpl w:val="1024B5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F1F1D76"/>
    <w:multiLevelType w:val="hybridMultilevel"/>
    <w:tmpl w:val="933E1A96"/>
    <w:lvl w:ilvl="0" w:tplc="70EC839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8"/>
  </w:num>
  <w:num w:numId="5">
    <w:abstractNumId w:val="0"/>
  </w:num>
  <w:num w:numId="6">
    <w:abstractNumId w:val="3"/>
  </w:num>
  <w:num w:numId="7">
    <w:abstractNumId w:val="6"/>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4"/>
  </w:num>
  <w:num w:numId="18">
    <w:abstractNumId w:val="7"/>
  </w:num>
  <w:num w:numId="19">
    <w:abstractNumId w:val="4"/>
  </w:num>
  <w:num w:numId="20">
    <w:abstractNumId w:val="4"/>
  </w:num>
  <w:num w:numId="21">
    <w:abstractNumId w:val="4"/>
  </w:num>
  <w:num w:numId="22">
    <w:abstractNumId w:val="4"/>
  </w:num>
  <w:num w:numId="23">
    <w:abstractNumId w:val="4"/>
  </w:num>
  <w:num w:numId="24">
    <w:abstractNumId w:val="4"/>
  </w:num>
  <w:num w:numId="25">
    <w:abstractNumId w:val="1"/>
  </w:num>
  <w:num w:numId="26">
    <w:abstractNumId w:val="4"/>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5C"/>
    <w:rsid w:val="00006322"/>
    <w:rsid w:val="00022113"/>
    <w:rsid w:val="0002329D"/>
    <w:rsid w:val="000302F0"/>
    <w:rsid w:val="00065ACB"/>
    <w:rsid w:val="00084D84"/>
    <w:rsid w:val="000901DD"/>
    <w:rsid w:val="000A256E"/>
    <w:rsid w:val="000A47FD"/>
    <w:rsid w:val="000B7492"/>
    <w:rsid w:val="000C5910"/>
    <w:rsid w:val="000D2C92"/>
    <w:rsid w:val="000E5A5F"/>
    <w:rsid w:val="000E7196"/>
    <w:rsid w:val="000F168C"/>
    <w:rsid w:val="00122AA4"/>
    <w:rsid w:val="0013194F"/>
    <w:rsid w:val="00141896"/>
    <w:rsid w:val="00160436"/>
    <w:rsid w:val="001A3727"/>
    <w:rsid w:val="001C2F23"/>
    <w:rsid w:val="001D2C33"/>
    <w:rsid w:val="001D7F18"/>
    <w:rsid w:val="002277C8"/>
    <w:rsid w:val="00231463"/>
    <w:rsid w:val="00280423"/>
    <w:rsid w:val="0028385E"/>
    <w:rsid w:val="00286982"/>
    <w:rsid w:val="002B0BBA"/>
    <w:rsid w:val="002E2530"/>
    <w:rsid w:val="00303C65"/>
    <w:rsid w:val="00307692"/>
    <w:rsid w:val="00314B7D"/>
    <w:rsid w:val="003642C0"/>
    <w:rsid w:val="00380826"/>
    <w:rsid w:val="00393741"/>
    <w:rsid w:val="00396127"/>
    <w:rsid w:val="003B3DCA"/>
    <w:rsid w:val="003E225C"/>
    <w:rsid w:val="003E399B"/>
    <w:rsid w:val="003E3EA0"/>
    <w:rsid w:val="003F510A"/>
    <w:rsid w:val="003F5642"/>
    <w:rsid w:val="004023BE"/>
    <w:rsid w:val="00406CD6"/>
    <w:rsid w:val="00452D9E"/>
    <w:rsid w:val="004906EB"/>
    <w:rsid w:val="004923CD"/>
    <w:rsid w:val="004D22AA"/>
    <w:rsid w:val="004D6A06"/>
    <w:rsid w:val="004D7CFB"/>
    <w:rsid w:val="004F09FB"/>
    <w:rsid w:val="00506106"/>
    <w:rsid w:val="00567080"/>
    <w:rsid w:val="005833AD"/>
    <w:rsid w:val="00590628"/>
    <w:rsid w:val="005928B5"/>
    <w:rsid w:val="00597682"/>
    <w:rsid w:val="005E1943"/>
    <w:rsid w:val="006125B5"/>
    <w:rsid w:val="00615436"/>
    <w:rsid w:val="0063790E"/>
    <w:rsid w:val="00646B5B"/>
    <w:rsid w:val="00666494"/>
    <w:rsid w:val="0068051B"/>
    <w:rsid w:val="00685E3F"/>
    <w:rsid w:val="006B1C93"/>
    <w:rsid w:val="006D0E66"/>
    <w:rsid w:val="006D6424"/>
    <w:rsid w:val="00703AC8"/>
    <w:rsid w:val="00706624"/>
    <w:rsid w:val="007216F4"/>
    <w:rsid w:val="00721C0F"/>
    <w:rsid w:val="00721F33"/>
    <w:rsid w:val="00725B15"/>
    <w:rsid w:val="00732672"/>
    <w:rsid w:val="00767184"/>
    <w:rsid w:val="00787F36"/>
    <w:rsid w:val="007E1B5E"/>
    <w:rsid w:val="007F47B4"/>
    <w:rsid w:val="00801763"/>
    <w:rsid w:val="00845C91"/>
    <w:rsid w:val="00855714"/>
    <w:rsid w:val="008677D6"/>
    <w:rsid w:val="008A39E9"/>
    <w:rsid w:val="008A407B"/>
    <w:rsid w:val="008A5652"/>
    <w:rsid w:val="008A7B03"/>
    <w:rsid w:val="008B4DC6"/>
    <w:rsid w:val="008C0EAE"/>
    <w:rsid w:val="00911C8A"/>
    <w:rsid w:val="00920AD3"/>
    <w:rsid w:val="00921F75"/>
    <w:rsid w:val="00946048"/>
    <w:rsid w:val="009A21E8"/>
    <w:rsid w:val="009C70D7"/>
    <w:rsid w:val="009E4E3C"/>
    <w:rsid w:val="009F4F56"/>
    <w:rsid w:val="00A04618"/>
    <w:rsid w:val="00A35822"/>
    <w:rsid w:val="00A42472"/>
    <w:rsid w:val="00A916D2"/>
    <w:rsid w:val="00AB1641"/>
    <w:rsid w:val="00AE093B"/>
    <w:rsid w:val="00AE54E7"/>
    <w:rsid w:val="00AF60D0"/>
    <w:rsid w:val="00B20467"/>
    <w:rsid w:val="00B21AE9"/>
    <w:rsid w:val="00B22885"/>
    <w:rsid w:val="00B24C4D"/>
    <w:rsid w:val="00B6048B"/>
    <w:rsid w:val="00B63F4D"/>
    <w:rsid w:val="00B66A23"/>
    <w:rsid w:val="00B777A0"/>
    <w:rsid w:val="00B829A8"/>
    <w:rsid w:val="00B93D33"/>
    <w:rsid w:val="00BF1E57"/>
    <w:rsid w:val="00C0483A"/>
    <w:rsid w:val="00C17BA4"/>
    <w:rsid w:val="00C209E4"/>
    <w:rsid w:val="00C215C8"/>
    <w:rsid w:val="00C311A7"/>
    <w:rsid w:val="00C720F6"/>
    <w:rsid w:val="00C7562F"/>
    <w:rsid w:val="00CC3CE0"/>
    <w:rsid w:val="00CE7D3D"/>
    <w:rsid w:val="00D41F6A"/>
    <w:rsid w:val="00D51160"/>
    <w:rsid w:val="00D51C62"/>
    <w:rsid w:val="00D609ED"/>
    <w:rsid w:val="00D70570"/>
    <w:rsid w:val="00D7203A"/>
    <w:rsid w:val="00D82AA9"/>
    <w:rsid w:val="00D871AD"/>
    <w:rsid w:val="00D87C6D"/>
    <w:rsid w:val="00DD1C13"/>
    <w:rsid w:val="00E00F72"/>
    <w:rsid w:val="00E04743"/>
    <w:rsid w:val="00E05F0A"/>
    <w:rsid w:val="00E32F51"/>
    <w:rsid w:val="00E41C9A"/>
    <w:rsid w:val="00E52A60"/>
    <w:rsid w:val="00E619E0"/>
    <w:rsid w:val="00E66D6E"/>
    <w:rsid w:val="00EA3C94"/>
    <w:rsid w:val="00EB63C9"/>
    <w:rsid w:val="00ED15DB"/>
    <w:rsid w:val="00F51801"/>
    <w:rsid w:val="00FB43AE"/>
    <w:rsid w:val="00FD3363"/>
    <w:rsid w:val="00FD5B9E"/>
    <w:rsid w:val="00FE4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A54C18C"/>
  <w15:docId w15:val="{0BEAEEF9-4ED0-416C-8B1F-56A8EAA5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570"/>
    <w:pPr>
      <w:spacing w:before="240" w:after="0" w:line="240" w:lineRule="auto"/>
    </w:pPr>
  </w:style>
  <w:style w:type="paragraph" w:styleId="Heading1">
    <w:name w:val="heading 1"/>
    <w:basedOn w:val="Normal"/>
    <w:next w:val="Headingfo"/>
    <w:link w:val="Heading1Char"/>
    <w:uiPriority w:val="9"/>
    <w:qFormat/>
    <w:rsid w:val="0002329D"/>
    <w:pPr>
      <w:keepNext/>
      <w:numPr>
        <w:numId w:val="1"/>
      </w:numPr>
      <w:outlineLvl w:val="0"/>
    </w:pPr>
    <w:rPr>
      <w:rFonts w:ascii="Calibri" w:eastAsiaTheme="majorEastAsia" w:hAnsi="Calibri" w:cstheme="majorBidi"/>
      <w:b/>
      <w:caps/>
      <w:szCs w:val="32"/>
    </w:rPr>
  </w:style>
  <w:style w:type="paragraph" w:styleId="Heading2">
    <w:name w:val="heading 2"/>
    <w:basedOn w:val="Normal"/>
    <w:next w:val="Headingfo"/>
    <w:link w:val="Heading2Char"/>
    <w:uiPriority w:val="9"/>
    <w:unhideWhenUsed/>
    <w:qFormat/>
    <w:rsid w:val="00D70570"/>
    <w:pPr>
      <w:keepNext/>
      <w:numPr>
        <w:ilvl w:val="1"/>
        <w:numId w:val="1"/>
      </w:numPr>
      <w:outlineLvl w:val="1"/>
    </w:pPr>
    <w:rPr>
      <w:rFonts w:ascii="Calibri" w:eastAsiaTheme="majorEastAsia" w:hAnsi="Calibri" w:cstheme="majorBidi"/>
      <w:b/>
      <w:szCs w:val="26"/>
    </w:rPr>
  </w:style>
  <w:style w:type="paragraph" w:styleId="Heading3">
    <w:name w:val="heading 3"/>
    <w:basedOn w:val="Normal"/>
    <w:link w:val="Heading3Char"/>
    <w:uiPriority w:val="9"/>
    <w:unhideWhenUsed/>
    <w:qFormat/>
    <w:rsid w:val="00D51160"/>
    <w:pPr>
      <w:numPr>
        <w:ilvl w:val="2"/>
        <w:numId w:val="1"/>
      </w:numPr>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D51160"/>
    <w:pPr>
      <w:numPr>
        <w:ilvl w:val="3"/>
        <w:numId w:val="1"/>
      </w:numPr>
      <w:outlineLvl w:val="3"/>
    </w:pPr>
    <w:rPr>
      <w:rFonts w:ascii="Calibri" w:eastAsiaTheme="majorEastAsia" w:hAnsi="Calibr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5B"/>
    <w:pPr>
      <w:ind w:left="720"/>
      <w:contextualSpacing/>
    </w:pPr>
  </w:style>
  <w:style w:type="paragraph" w:styleId="Header">
    <w:name w:val="header"/>
    <w:basedOn w:val="Normal"/>
    <w:link w:val="HeaderChar"/>
    <w:uiPriority w:val="99"/>
    <w:unhideWhenUsed/>
    <w:rsid w:val="00801763"/>
    <w:pPr>
      <w:tabs>
        <w:tab w:val="center" w:pos="4513"/>
        <w:tab w:val="right" w:pos="9026"/>
      </w:tabs>
    </w:pPr>
  </w:style>
  <w:style w:type="character" w:customStyle="1" w:styleId="HeaderChar">
    <w:name w:val="Header Char"/>
    <w:basedOn w:val="DefaultParagraphFont"/>
    <w:link w:val="Header"/>
    <w:uiPriority w:val="99"/>
    <w:rsid w:val="00801763"/>
  </w:style>
  <w:style w:type="paragraph" w:styleId="Footer">
    <w:name w:val="footer"/>
    <w:basedOn w:val="Normal"/>
    <w:link w:val="FooterChar"/>
    <w:uiPriority w:val="99"/>
    <w:unhideWhenUsed/>
    <w:rsid w:val="00801763"/>
    <w:pPr>
      <w:tabs>
        <w:tab w:val="center" w:pos="4513"/>
        <w:tab w:val="right" w:pos="9026"/>
      </w:tabs>
    </w:pPr>
  </w:style>
  <w:style w:type="character" w:customStyle="1" w:styleId="FooterChar">
    <w:name w:val="Footer Char"/>
    <w:basedOn w:val="DefaultParagraphFont"/>
    <w:link w:val="Footer"/>
    <w:uiPriority w:val="99"/>
    <w:rsid w:val="00801763"/>
  </w:style>
  <w:style w:type="character" w:customStyle="1" w:styleId="Heading1Char">
    <w:name w:val="Heading 1 Char"/>
    <w:basedOn w:val="DefaultParagraphFont"/>
    <w:link w:val="Heading1"/>
    <w:uiPriority w:val="9"/>
    <w:rsid w:val="0002329D"/>
    <w:rPr>
      <w:rFonts w:ascii="Calibri" w:eastAsiaTheme="majorEastAsia" w:hAnsi="Calibri" w:cstheme="majorBidi"/>
      <w:b/>
      <w:caps/>
      <w:szCs w:val="32"/>
    </w:rPr>
  </w:style>
  <w:style w:type="character" w:customStyle="1" w:styleId="Heading2Char">
    <w:name w:val="Heading 2 Char"/>
    <w:basedOn w:val="DefaultParagraphFont"/>
    <w:link w:val="Heading2"/>
    <w:uiPriority w:val="9"/>
    <w:rsid w:val="00D70570"/>
    <w:rPr>
      <w:rFonts w:ascii="Calibri" w:eastAsiaTheme="majorEastAsia" w:hAnsi="Calibri" w:cstheme="majorBidi"/>
      <w:b/>
      <w:szCs w:val="26"/>
    </w:rPr>
  </w:style>
  <w:style w:type="paragraph" w:customStyle="1" w:styleId="Headingfo">
    <w:name w:val="Heading (fo)"/>
    <w:basedOn w:val="Normal"/>
    <w:qFormat/>
    <w:rsid w:val="004906EB"/>
    <w:pPr>
      <w:ind w:left="720"/>
    </w:pPr>
    <w:rPr>
      <w:rFonts w:ascii="Calibri" w:hAnsi="Calibri"/>
    </w:rPr>
  </w:style>
  <w:style w:type="character" w:customStyle="1" w:styleId="Heading3Char">
    <w:name w:val="Heading 3 Char"/>
    <w:basedOn w:val="DefaultParagraphFont"/>
    <w:link w:val="Heading3"/>
    <w:uiPriority w:val="9"/>
    <w:rsid w:val="00D51160"/>
    <w:rPr>
      <w:rFonts w:ascii="Calibri" w:eastAsiaTheme="majorEastAsia" w:hAnsi="Calibri" w:cstheme="majorBidi"/>
      <w:szCs w:val="24"/>
    </w:rPr>
  </w:style>
  <w:style w:type="character" w:customStyle="1" w:styleId="Heading4Char">
    <w:name w:val="Heading 4 Char"/>
    <w:basedOn w:val="DefaultParagraphFont"/>
    <w:link w:val="Heading4"/>
    <w:uiPriority w:val="9"/>
    <w:rsid w:val="00D51160"/>
    <w:rPr>
      <w:rFonts w:ascii="Calibri" w:eastAsiaTheme="majorEastAsia" w:hAnsi="Calibri" w:cstheme="majorBidi"/>
      <w:iCs/>
    </w:rPr>
  </w:style>
  <w:style w:type="paragraph" w:styleId="BalloonText">
    <w:name w:val="Balloon Text"/>
    <w:basedOn w:val="Normal"/>
    <w:link w:val="BalloonTextChar"/>
    <w:uiPriority w:val="99"/>
    <w:semiHidden/>
    <w:unhideWhenUsed/>
    <w:rsid w:val="004906E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6EB"/>
    <w:rPr>
      <w:rFonts w:ascii="Segoe UI" w:hAnsi="Segoe UI" w:cs="Segoe UI"/>
      <w:sz w:val="18"/>
      <w:szCs w:val="18"/>
    </w:rPr>
  </w:style>
  <w:style w:type="table" w:styleId="TableGrid">
    <w:name w:val="Table Grid"/>
    <w:basedOn w:val="TableNormal"/>
    <w:uiPriority w:val="59"/>
    <w:rsid w:val="0002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BB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semiHidden/>
    <w:rsid w:val="00D41F6A"/>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semiHidden/>
    <w:rsid w:val="00D41F6A"/>
    <w:pPr>
      <w:spacing w:before="0"/>
      <w:jc w:val="both"/>
    </w:pPr>
    <w:rPr>
      <w:rFonts w:ascii="Arial" w:eastAsia="Times New Roman" w:hAnsi="Arial" w:cs="Arial"/>
      <w:color w:val="000000"/>
      <w:sz w:val="20"/>
      <w:szCs w:val="23"/>
    </w:rPr>
  </w:style>
  <w:style w:type="character" w:customStyle="1" w:styleId="BodyTextChar">
    <w:name w:val="Body Text Char"/>
    <w:basedOn w:val="DefaultParagraphFont"/>
    <w:link w:val="BodyText"/>
    <w:semiHidden/>
    <w:rsid w:val="00D41F6A"/>
    <w:rPr>
      <w:rFonts w:ascii="Arial" w:eastAsia="Times New Roman" w:hAnsi="Arial" w:cs="Arial"/>
      <w:color w:val="000000"/>
      <w:sz w:val="20"/>
      <w:szCs w:val="23"/>
    </w:rPr>
  </w:style>
  <w:style w:type="paragraph" w:styleId="BodyText2">
    <w:name w:val="Body Text 2"/>
    <w:basedOn w:val="Normal"/>
    <w:link w:val="BodyText2Char"/>
    <w:uiPriority w:val="99"/>
    <w:semiHidden/>
    <w:unhideWhenUsed/>
    <w:rsid w:val="00D41F6A"/>
    <w:pPr>
      <w:spacing w:after="120" w:line="480" w:lineRule="auto"/>
    </w:pPr>
  </w:style>
  <w:style w:type="character" w:customStyle="1" w:styleId="BodyText2Char">
    <w:name w:val="Body Text 2 Char"/>
    <w:basedOn w:val="DefaultParagraphFont"/>
    <w:link w:val="BodyText2"/>
    <w:uiPriority w:val="99"/>
    <w:semiHidden/>
    <w:rsid w:val="00D41F6A"/>
  </w:style>
  <w:style w:type="paragraph" w:customStyle="1" w:styleId="Level1">
    <w:name w:val="Level 1"/>
    <w:basedOn w:val="Normal"/>
    <w:next w:val="Level1fo"/>
    <w:qFormat/>
    <w:rsid w:val="00EB63C9"/>
    <w:pPr>
      <w:keepNext/>
      <w:numPr>
        <w:numId w:val="2"/>
      </w:numPr>
    </w:pPr>
    <w:rPr>
      <w:rFonts w:ascii="Calibri" w:hAnsi="Calibri"/>
      <w:b/>
      <w:caps/>
    </w:rPr>
  </w:style>
  <w:style w:type="paragraph" w:customStyle="1" w:styleId="Level1fo">
    <w:name w:val="Level 1 fo"/>
    <w:basedOn w:val="Normal"/>
    <w:qFormat/>
    <w:rsid w:val="00EB63C9"/>
    <w:pPr>
      <w:ind w:left="720"/>
    </w:pPr>
    <w:rPr>
      <w:rFonts w:ascii="Calibri" w:hAnsi="Calibri"/>
    </w:rPr>
  </w:style>
  <w:style w:type="paragraph" w:customStyle="1" w:styleId="Level11">
    <w:name w:val="Level 1.1"/>
    <w:basedOn w:val="Normal"/>
    <w:next w:val="Level1fo"/>
    <w:qFormat/>
    <w:rsid w:val="00EB63C9"/>
    <w:pPr>
      <w:keepNext/>
      <w:numPr>
        <w:ilvl w:val="1"/>
        <w:numId w:val="2"/>
      </w:numPr>
    </w:pPr>
    <w:rPr>
      <w:rFonts w:ascii="Calibri" w:hAnsi="Calibri"/>
      <w:b/>
    </w:rPr>
  </w:style>
  <w:style w:type="paragraph" w:customStyle="1" w:styleId="Levela">
    <w:name w:val="Level (a)"/>
    <w:basedOn w:val="Normal"/>
    <w:qFormat/>
    <w:rsid w:val="00EB63C9"/>
    <w:pPr>
      <w:numPr>
        <w:ilvl w:val="2"/>
        <w:numId w:val="2"/>
      </w:numPr>
    </w:pPr>
    <w:rPr>
      <w:rFonts w:ascii="Calibri" w:hAnsi="Calibri"/>
    </w:rPr>
  </w:style>
  <w:style w:type="paragraph" w:customStyle="1" w:styleId="Leveli">
    <w:name w:val="Level (i)"/>
    <w:basedOn w:val="Normal"/>
    <w:qFormat/>
    <w:rsid w:val="00EB63C9"/>
    <w:pPr>
      <w:numPr>
        <w:ilvl w:val="3"/>
        <w:numId w:val="2"/>
      </w:numPr>
    </w:pPr>
    <w:rPr>
      <w:rFonts w:ascii="Calibri" w:hAnsi="Calibri"/>
    </w:rPr>
  </w:style>
  <w:style w:type="paragraph" w:customStyle="1" w:styleId="LevelA0">
    <w:name w:val="Level (A)"/>
    <w:basedOn w:val="Normal"/>
    <w:qFormat/>
    <w:rsid w:val="00EB63C9"/>
    <w:pPr>
      <w:numPr>
        <w:ilvl w:val="4"/>
        <w:numId w:val="2"/>
      </w:numPr>
    </w:pPr>
    <w:rPr>
      <w:rFonts w:ascii="Calibri" w:hAnsi="Calibri"/>
    </w:rPr>
  </w:style>
  <w:style w:type="paragraph" w:customStyle="1" w:styleId="LevelI0">
    <w:name w:val="Level (I)"/>
    <w:basedOn w:val="Normal"/>
    <w:qFormat/>
    <w:rsid w:val="00EB63C9"/>
    <w:pPr>
      <w:numPr>
        <w:ilvl w:val="5"/>
        <w:numId w:val="2"/>
      </w:numPr>
    </w:pPr>
    <w:rPr>
      <w:rFonts w:ascii="Calibri" w:hAnsi="Calibri"/>
    </w:rPr>
  </w:style>
  <w:style w:type="paragraph" w:customStyle="1" w:styleId="Level11fo">
    <w:name w:val="Level 1.1 (fo)"/>
    <w:basedOn w:val="Normal"/>
    <w:qFormat/>
    <w:rsid w:val="00B829A8"/>
    <w:pPr>
      <w:ind w:left="720"/>
    </w:pPr>
    <w:rPr>
      <w:rFonts w:ascii="Calibri" w:hAnsi="Calibri"/>
      <w:lang w:val="en-US"/>
    </w:rPr>
  </w:style>
  <w:style w:type="character" w:styleId="Hyperlink">
    <w:name w:val="Hyperlink"/>
    <w:basedOn w:val="DefaultParagraphFont"/>
    <w:uiPriority w:val="99"/>
    <w:unhideWhenUsed/>
    <w:rsid w:val="001C2F23"/>
    <w:rPr>
      <w:color w:val="0000FF" w:themeColor="hyperlink"/>
      <w:u w:val="single"/>
    </w:rPr>
  </w:style>
  <w:style w:type="character" w:styleId="CommentReference">
    <w:name w:val="annotation reference"/>
    <w:basedOn w:val="DefaultParagraphFont"/>
    <w:uiPriority w:val="99"/>
    <w:semiHidden/>
    <w:unhideWhenUsed/>
    <w:rsid w:val="00E52A60"/>
    <w:rPr>
      <w:sz w:val="16"/>
      <w:szCs w:val="16"/>
    </w:rPr>
  </w:style>
  <w:style w:type="paragraph" w:styleId="CommentText">
    <w:name w:val="annotation text"/>
    <w:basedOn w:val="Normal"/>
    <w:link w:val="CommentTextChar"/>
    <w:uiPriority w:val="99"/>
    <w:semiHidden/>
    <w:unhideWhenUsed/>
    <w:rsid w:val="00E52A60"/>
    <w:rPr>
      <w:sz w:val="20"/>
      <w:szCs w:val="20"/>
    </w:rPr>
  </w:style>
  <w:style w:type="character" w:customStyle="1" w:styleId="CommentTextChar">
    <w:name w:val="Comment Text Char"/>
    <w:basedOn w:val="DefaultParagraphFont"/>
    <w:link w:val="CommentText"/>
    <w:uiPriority w:val="99"/>
    <w:semiHidden/>
    <w:rsid w:val="00E52A60"/>
    <w:rPr>
      <w:sz w:val="20"/>
      <w:szCs w:val="20"/>
    </w:rPr>
  </w:style>
  <w:style w:type="paragraph" w:styleId="CommentSubject">
    <w:name w:val="annotation subject"/>
    <w:basedOn w:val="CommentText"/>
    <w:next w:val="CommentText"/>
    <w:link w:val="CommentSubjectChar"/>
    <w:uiPriority w:val="99"/>
    <w:semiHidden/>
    <w:unhideWhenUsed/>
    <w:rsid w:val="00E52A60"/>
    <w:rPr>
      <w:b/>
      <w:bCs/>
    </w:rPr>
  </w:style>
  <w:style w:type="character" w:customStyle="1" w:styleId="CommentSubjectChar">
    <w:name w:val="Comment Subject Char"/>
    <w:basedOn w:val="CommentTextChar"/>
    <w:link w:val="CommentSubject"/>
    <w:uiPriority w:val="99"/>
    <w:semiHidden/>
    <w:rsid w:val="00E52A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744985">
      <w:bodyDiv w:val="1"/>
      <w:marLeft w:val="0"/>
      <w:marRight w:val="0"/>
      <w:marTop w:val="0"/>
      <w:marBottom w:val="0"/>
      <w:divBdr>
        <w:top w:val="none" w:sz="0" w:space="0" w:color="auto"/>
        <w:left w:val="none" w:sz="0" w:space="0" w:color="auto"/>
        <w:bottom w:val="none" w:sz="0" w:space="0" w:color="auto"/>
        <w:right w:val="none" w:sz="0" w:space="0" w:color="auto"/>
      </w:divBdr>
      <w:divsChild>
        <w:div w:id="1471246173">
          <w:marLeft w:val="0"/>
          <w:marRight w:val="0"/>
          <w:marTop w:val="0"/>
          <w:marBottom w:val="0"/>
          <w:divBdr>
            <w:top w:val="none" w:sz="0" w:space="0" w:color="auto"/>
            <w:left w:val="none" w:sz="0" w:space="0" w:color="auto"/>
            <w:bottom w:val="none" w:sz="0" w:space="0" w:color="auto"/>
            <w:right w:val="none" w:sz="0" w:space="0" w:color="auto"/>
          </w:divBdr>
          <w:divsChild>
            <w:div w:id="454327924">
              <w:marLeft w:val="0"/>
              <w:marRight w:val="0"/>
              <w:marTop w:val="0"/>
              <w:marBottom w:val="0"/>
              <w:divBdr>
                <w:top w:val="none" w:sz="0" w:space="0" w:color="auto"/>
                <w:left w:val="none" w:sz="0" w:space="0" w:color="auto"/>
                <w:bottom w:val="none" w:sz="0" w:space="0" w:color="auto"/>
                <w:right w:val="none" w:sz="0" w:space="0" w:color="auto"/>
              </w:divBdr>
              <w:divsChild>
                <w:div w:id="1754354030">
                  <w:marLeft w:val="0"/>
                  <w:marRight w:val="0"/>
                  <w:marTop w:val="0"/>
                  <w:marBottom w:val="0"/>
                  <w:divBdr>
                    <w:top w:val="none" w:sz="0" w:space="0" w:color="auto"/>
                    <w:left w:val="none" w:sz="0" w:space="0" w:color="auto"/>
                    <w:bottom w:val="none" w:sz="0" w:space="0" w:color="auto"/>
                    <w:right w:val="none" w:sz="0" w:space="0" w:color="auto"/>
                  </w:divBdr>
                  <w:divsChild>
                    <w:div w:id="1609046621">
                      <w:marLeft w:val="0"/>
                      <w:marRight w:val="0"/>
                      <w:marTop w:val="0"/>
                      <w:marBottom w:val="0"/>
                      <w:divBdr>
                        <w:top w:val="none" w:sz="0" w:space="0" w:color="auto"/>
                        <w:left w:val="none" w:sz="0" w:space="0" w:color="auto"/>
                        <w:bottom w:val="none" w:sz="0" w:space="0" w:color="auto"/>
                        <w:right w:val="none" w:sz="0" w:space="0" w:color="auto"/>
                      </w:divBdr>
                      <w:divsChild>
                        <w:div w:id="4378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computershare.com/investor/?issuerid=scaubhp&amp;cc=au&amp;AspxAutoDetectCookieSupport=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5471-2610-479F-911B-47CE40EE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Southern Cross Austereo</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Hudson</dc:creator>
  <cp:lastModifiedBy>Tony Hudson</cp:lastModifiedBy>
  <cp:revision>8</cp:revision>
  <cp:lastPrinted>2018-01-25T00:46:00Z</cp:lastPrinted>
  <dcterms:created xsi:type="dcterms:W3CDTF">2019-01-10T01:45:00Z</dcterms:created>
  <dcterms:modified xsi:type="dcterms:W3CDTF">2019-02-27T21:32:00Z</dcterms:modified>
</cp:coreProperties>
</file>